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4080"/>
        <w:gridCol w:w="5609"/>
      </w:tblGrid>
      <w:tr>
        <w:trPr/>
        <w:tc>
          <w:tcPr>
            <w:tcW w:w="4080" w:type="dxa"/>
            <w:tcBorders/>
          </w:tcPr>
          <w:p>
            <w:pPr>
              <w:pStyle w:val="1"/>
              <w:widowControl w:val="false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w="5609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Cs w:val="28"/>
              </w:rPr>
              <w:t>постановлением Республиканской комиссии по делам несовершеннолетних и защите</w:t>
              <w:br/>
              <w:t>их прав в Луганской Народной Республике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/>
              <w:t xml:space="preserve">от 22 июля 2026 г. № </w:t>
            </w:r>
            <w:r>
              <w:rPr>
                <w:szCs w:val="28"/>
              </w:rPr>
              <w:t>40</w:t>
            </w:r>
          </w:p>
        </w:tc>
      </w:tr>
    </w:tbl>
    <w:p>
      <w:pPr>
        <w:pStyle w:val="Normal"/>
        <w:ind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о создании Регионального консилиума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 xml:space="preserve">при Республиканской комиссии по делам несовершеннолетних и защите их прав в Луганской Народной Республике по обоснованности помещения детей в стационарные учреждения </w:t>
      </w:r>
    </w:p>
    <w:p>
      <w:pPr>
        <w:pStyle w:val="Normal"/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1. Общие положения 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Style26"/>
        <w:ind w:firstLine="794"/>
        <w:rPr/>
      </w:pPr>
      <w:r>
        <w:rPr/>
        <w:t>1.1. Региональный консилиум при Республиканской комиссии по делам несовершеннолетних и защите их прав в Луганской Народной Республике по обоснованности помещения детей в стационарные учреждения (далее – Региональный консилиум) является одной из форм взаимодействия субъектов профилактики социального сиротства на территории Луганской Народной Республики.</w:t>
      </w:r>
    </w:p>
    <w:p>
      <w:pPr>
        <w:pStyle w:val="Style26"/>
        <w:ind w:firstLine="794"/>
        <w:rPr/>
      </w:pPr>
      <w:r>
        <w:rPr/>
        <w:t>1.2. Принципом деятельности Регионального консилиума является безусловный приоритет прав и интересов ребенка, его безопасности.</w:t>
      </w:r>
    </w:p>
    <w:p>
      <w:pPr>
        <w:pStyle w:val="Style26"/>
        <w:ind w:firstLine="794"/>
        <w:rPr/>
      </w:pPr>
      <w:r>
        <w:rPr/>
        <w:t>1.3. В своей деятельности Региональный консилиум руководствуется Конвенцией ООН о правах ребенка,  Конституцией Российской Федерации, федеральными законами Российской Федерации, в том числе Федеральным законом от 24 июня 1999 г. № 120-ФЗ «Об основах системы профилактики безнадзорности и правонарушений несовершеннолетних», Федеральным законом от 6 октября 1999 г. №184-ФЗ «Об общих принципах организации законодательных (представительных) и исполнительных органах государственной власти субъектов Российской Федерации», Законом Луганской Народной Республики от 06.06.2024 №74-I «Об организации деятельности органов опеки и попечительства в Луганской Народной Республике и о наделении органов местного самоуправления отдельными государственными полномочиями по опеке, попечительству и патронажу», Законом Луганской Народной Республики от 27 июня 2024 г. № 76-I «О комиссиях по делам несовершеннолетних и защите их прав в Луганской Народной Республике», Порядком межведомственного взаимодействия органов и учреждений системы профилактики безнадзорности</w:t>
        <w:br/>
        <w:t>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 на территории Луганской Народной Республики, утвержденным постановлением РКДН и ЗП в ЛНР</w:t>
        <w:br/>
        <w:t>от 17.02.2025 № 10, иными нормативными правовыми актами,</w:t>
        <w:br/>
        <w:t xml:space="preserve">а также настоящим Положением. 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81" w:charSpace="0"/>
        </w:sectPr>
        <w:pStyle w:val="Style26"/>
        <w:ind w:firstLine="794"/>
        <w:rPr>
          <w:b/>
          <w:bCs/>
        </w:rPr>
      </w:pPr>
      <w:r>
        <w:rPr>
          <w:b/>
          <w:bCs/>
        </w:rPr>
      </w:r>
    </w:p>
    <w:p>
      <w:pPr>
        <w:pStyle w:val="Style26"/>
        <w:ind w:firstLine="794"/>
        <w:jc w:val="center"/>
        <w:rPr>
          <w:b/>
          <w:bCs/>
        </w:rPr>
      </w:pPr>
      <w:r>
        <w:rPr>
          <w:b/>
          <w:bCs/>
        </w:rPr>
        <w:t>2. Предмет деятельности</w:t>
      </w:r>
    </w:p>
    <w:p>
      <w:pPr>
        <w:pStyle w:val="Style26"/>
        <w:ind w:firstLine="794"/>
        <w:jc w:val="center"/>
        <w:rPr>
          <w:b/>
          <w:bCs/>
        </w:rPr>
      </w:pPr>
      <w:r>
        <w:rPr>
          <w:b/>
          <w:bCs/>
        </w:rPr>
      </w:r>
    </w:p>
    <w:p>
      <w:pPr>
        <w:pStyle w:val="Style26"/>
        <w:ind w:firstLine="794"/>
        <w:rPr/>
      </w:pPr>
      <w:r>
        <w:rPr/>
        <w:t>2.1. Предметом деятельности Регионального консилиума является:</w:t>
      </w:r>
    </w:p>
    <w:p>
      <w:pPr>
        <w:pStyle w:val="Style26"/>
        <w:ind w:firstLine="794"/>
        <w:rPr/>
      </w:pPr>
      <w:r>
        <w:rPr/>
        <w:t>2.1.1. анализ отдельных случаев обоснованности помещения детей</w:t>
        <w:br/>
        <w:t>в стационарные организации и пребывания в них детей, более 6 месяцев;</w:t>
      </w:r>
    </w:p>
    <w:p>
      <w:pPr>
        <w:pStyle w:val="Style26"/>
        <w:ind w:firstLine="794"/>
        <w:rPr/>
      </w:pPr>
      <w:r>
        <w:rPr/>
        <w:t>2.1.2. определение результативности проводимых мероприятий, направленных на семьесбережение (укрепление института семьи, профилактику семейного неблагополучия, создание благоприятных условий для семейного воспитания детей);</w:t>
      </w:r>
    </w:p>
    <w:p>
      <w:pPr>
        <w:pStyle w:val="Style26"/>
        <w:ind w:firstLine="794"/>
        <w:rPr/>
      </w:pPr>
      <w:r>
        <w:rPr/>
        <w:t>2.1.3. мониторинг  результатов  межведомственной деятельности по восстановлению или укреплению семьи (кровной или замещающей) детей, помещенных в стационарные организации;</w:t>
      </w:r>
    </w:p>
    <w:p>
      <w:pPr>
        <w:pStyle w:val="Style26"/>
        <w:ind w:firstLine="794"/>
        <w:rPr/>
      </w:pPr>
      <w:r>
        <w:rPr/>
        <w:t xml:space="preserve">2.1.4. анализ продуктивности деятельности  по семейному устройству воспитанников организаций для детей-сирот с целью разработки рекомендаций для повышения качества работы специалистов; </w:t>
      </w:r>
    </w:p>
    <w:p>
      <w:pPr>
        <w:pStyle w:val="Style26"/>
        <w:ind w:firstLine="794"/>
        <w:rPr/>
      </w:pPr>
      <w:r>
        <w:rPr/>
        <w:t>2.1.5. анализ типичных ошибок в работе специалистов органов опеки</w:t>
        <w:br/>
        <w:t>с целью повышения эффективности защиты прав и законных интересов несовершеннолетних;</w:t>
      </w:r>
    </w:p>
    <w:p>
      <w:pPr>
        <w:pStyle w:val="Style26"/>
        <w:ind w:firstLine="794"/>
        <w:rPr>
          <w:color w:val="000000"/>
        </w:rPr>
      </w:pPr>
      <w:r>
        <w:rPr>
          <w:color w:val="000000"/>
        </w:rPr>
        <w:t>2.2. Региональный консилиум рассматривает случаи по собственной инициативе или по информации, поступившей от граждан, органов</w:t>
        <w:br/>
        <w:t>и учреждений системы профилактики, размещенной в средствах массовой информации.</w:t>
      </w:r>
    </w:p>
    <w:p>
      <w:pPr>
        <w:pStyle w:val="Style26"/>
        <w:ind w:firstLine="794"/>
        <w:rPr/>
      </w:pPr>
      <w:r>
        <w:rPr/>
      </w:r>
    </w:p>
    <w:p>
      <w:pPr>
        <w:pStyle w:val="Style26"/>
        <w:ind w:firstLine="794"/>
        <w:jc w:val="center"/>
        <w:rPr>
          <w:b/>
          <w:bCs/>
        </w:rPr>
      </w:pPr>
      <w:r>
        <w:rPr>
          <w:b/>
          <w:bCs/>
        </w:rPr>
        <w:t>3. Порядок и периодичность проведения консилиума</w:t>
      </w:r>
    </w:p>
    <w:p>
      <w:pPr>
        <w:pStyle w:val="Style26"/>
        <w:ind w:firstLine="794"/>
        <w:rPr/>
      </w:pPr>
      <w:r>
        <w:rPr/>
      </w:r>
    </w:p>
    <w:p>
      <w:pPr>
        <w:pStyle w:val="Style26"/>
        <w:ind w:firstLine="794"/>
        <w:rPr/>
      </w:pPr>
      <w:r>
        <w:rPr/>
        <w:t xml:space="preserve">3.1. Заседания Регионального консилиума проводятся не реже 1 раза в квартал. </w:t>
      </w:r>
    </w:p>
    <w:p>
      <w:pPr>
        <w:pStyle w:val="Style26"/>
        <w:ind w:firstLine="794"/>
        <w:rPr/>
      </w:pPr>
      <w:r>
        <w:rPr/>
        <w:t>3.2. Заседания Регионального консилиума проводятся в различных форматах: очном, онлайн формате, в формате выездных заседаний, а также</w:t>
        <w:br/>
        <w:t xml:space="preserve">в сочетании изложенных форматов.  </w:t>
      </w:r>
    </w:p>
    <w:p>
      <w:pPr>
        <w:pStyle w:val="Style26"/>
        <w:ind w:firstLine="794"/>
        <w:rPr/>
      </w:pPr>
      <w:r>
        <w:rPr/>
        <w:t xml:space="preserve">3.3. В заседании Регионального консилиума вправе присутствовать представители органов или учреждений системы профилактики, а также члены семей, случаи которых рассматриваются Региональным консилиумом. </w:t>
      </w:r>
    </w:p>
    <w:p>
      <w:pPr>
        <w:pStyle w:val="Style26"/>
        <w:ind w:firstLine="794"/>
        <w:rPr/>
      </w:pPr>
      <w:r>
        <w:rPr/>
        <w:t xml:space="preserve">3.4. Решения Регионального консилиума выносятся в формате заключений в отношении каждого рассмотренного случая. </w:t>
      </w:r>
      <w:r>
        <w:rPr>
          <w:color w:val="000000"/>
        </w:rPr>
        <w:t>Заключение носит рекомендательный характер и направляется в органы опеки и попечительства по месту проживания (нахождения) ребенка.</w:t>
      </w:r>
    </w:p>
    <w:p>
      <w:pPr>
        <w:pStyle w:val="Style26"/>
        <w:ind w:firstLine="794"/>
        <w:rPr/>
      </w:pPr>
      <w:r>
        <w:rPr/>
        <w:t>3.5. Заседание Регионального консилиума считается правомочным, если в нем принимает участие не менее 2/3 от общего числа членов, входящих в его состав.</w:t>
      </w:r>
    </w:p>
    <w:p>
      <w:pPr>
        <w:pStyle w:val="Style26"/>
        <w:ind w:firstLine="794"/>
        <w:rPr/>
      </w:pPr>
      <w:r>
        <w:rPr/>
        <w:tab/>
      </w:r>
    </w:p>
    <w:p>
      <w:pPr>
        <w:pStyle w:val="Style26"/>
        <w:ind w:firstLine="794"/>
        <w:rPr>
          <w:b/>
          <w:bCs/>
        </w:rPr>
      </w:pPr>
      <w:r>
        <w:rPr>
          <w:b/>
          <w:bCs/>
        </w:rPr>
        <w:t>4. Состав Регионального консилиума, права и обязанности членов</w:t>
      </w:r>
    </w:p>
    <w:p>
      <w:pPr>
        <w:pStyle w:val="Style26"/>
        <w:ind w:firstLine="794"/>
        <w:rPr>
          <w:b/>
          <w:bCs/>
        </w:rPr>
      </w:pPr>
      <w:r>
        <w:rPr>
          <w:b/>
          <w:bCs/>
        </w:rPr>
      </w:r>
    </w:p>
    <w:p>
      <w:pPr>
        <w:pStyle w:val="Style26"/>
        <w:ind w:firstLine="794"/>
        <w:rPr/>
      </w:pPr>
      <w:r>
        <w:rPr/>
        <w:t>4.1. Состав Регионального консилиума утверждается на заседании Республиканской комиссии по делам несовершеннолетних и защите их прав в Луганской Народной Республике.</w:t>
      </w:r>
    </w:p>
    <w:p>
      <w:pPr>
        <w:pStyle w:val="Style26"/>
        <w:ind w:firstLine="794"/>
        <w:rPr>
          <w:color w:val="000000"/>
        </w:rPr>
      </w:pPr>
      <w:r>
        <w:rPr>
          <w:color w:val="000000"/>
        </w:rPr>
        <w:t>4.2. Численный состав Регионального консилиума составляет 12 человек: 11 специалистов из различных ведомств и организаций, к профессиональным обязанностям которых отнесены вопросы защиты прав и интересов детей и  Уполномоченный по правам ребенка в Луганской Народной Республике.</w:t>
      </w:r>
    </w:p>
    <w:p>
      <w:pPr>
        <w:pStyle w:val="Style26"/>
        <w:ind w:firstLine="794"/>
        <w:rPr/>
      </w:pPr>
      <w:r>
        <w:rPr/>
        <w:t>4.3. Председатель Регионального консилиума:</w:t>
      </w:r>
    </w:p>
    <w:p>
      <w:pPr>
        <w:pStyle w:val="Style26"/>
        <w:ind w:firstLine="794"/>
        <w:rPr/>
      </w:pPr>
      <w:r>
        <w:rPr/>
        <w:t>4.3.1. избирается из состава консилиума, утвержденного постановлением Республиканской комиссии по делам несовершеннолетних и защите их прав в Луганской Народной Республике.</w:t>
      </w:r>
    </w:p>
    <w:p>
      <w:pPr>
        <w:pStyle w:val="Style26"/>
        <w:ind w:firstLine="794"/>
        <w:rPr/>
      </w:pPr>
      <w:r>
        <w:rPr/>
        <w:t xml:space="preserve"> </w:t>
      </w:r>
      <w:r>
        <w:rPr/>
        <w:t xml:space="preserve">4.3.2. руководит деятельностью Регионального консилиума; </w:t>
      </w:r>
    </w:p>
    <w:p>
      <w:pPr>
        <w:pStyle w:val="Style26"/>
        <w:ind w:firstLine="794"/>
        <w:rPr/>
      </w:pPr>
      <w:r>
        <w:rPr/>
        <w:t>4.3.3. определяет место, дату и время проведения заседаний Регионального консилиума, вопросы, выносимые на рассмотрение, выступающих;</w:t>
      </w:r>
    </w:p>
    <w:p>
      <w:pPr>
        <w:pStyle w:val="Style26"/>
        <w:ind w:firstLine="794"/>
        <w:rPr/>
      </w:pPr>
      <w:r>
        <w:rPr/>
        <w:t>4.3.4. ведет заседания Регионального консилиума;</w:t>
      </w:r>
    </w:p>
    <w:p>
      <w:pPr>
        <w:pStyle w:val="Style26"/>
        <w:ind w:firstLine="794"/>
        <w:rPr/>
      </w:pPr>
      <w:r>
        <w:rPr/>
        <w:t>4.3.5. осуществляет контроль за исполнением решений Регионального консилиума.</w:t>
      </w:r>
    </w:p>
    <w:p>
      <w:pPr>
        <w:pStyle w:val="Style26"/>
        <w:ind w:firstLine="794"/>
        <w:rPr/>
      </w:pPr>
      <w:r>
        <w:rPr/>
        <w:t>4.4. Секретарь Регионального консилиума:</w:t>
      </w:r>
    </w:p>
    <w:p>
      <w:pPr>
        <w:pStyle w:val="Style26"/>
        <w:ind w:firstLine="794"/>
        <w:rPr/>
      </w:pPr>
      <w:r>
        <w:rPr/>
        <w:t>4.4.1. избирается из состава консилиума, утвержденного постановлением Республиканской комиссии по делам несовершеннолетних и защите их прав в Луганской Народной Республике.</w:t>
      </w:r>
    </w:p>
    <w:p>
      <w:pPr>
        <w:pStyle w:val="Style26"/>
        <w:ind w:firstLine="794"/>
        <w:rPr/>
      </w:pPr>
      <w:r>
        <w:rPr/>
        <w:t>4.4.2. формирует повестку заседания Регионального консилиума и, не позднее чем за 5 рабочих дней до дня проведения заседания, представляет ее на утверждение председателю Регионального консилиума;</w:t>
      </w:r>
    </w:p>
    <w:p>
      <w:pPr>
        <w:pStyle w:val="Style26"/>
        <w:ind w:firstLine="794"/>
        <w:rPr/>
      </w:pPr>
      <w:r>
        <w:rPr/>
        <w:t>4.4.3. информирует членов Регионального консилиума о дате, времени и месте  проведения заседания Регионального консилиума, обеспечивает уведомление членов Регионального консилиума о предстоящем заседании и направляет повестку заседания не позднее чем за 3 рабочих дня до дня его проведения;</w:t>
      </w:r>
    </w:p>
    <w:p>
      <w:pPr>
        <w:pStyle w:val="Style26"/>
        <w:ind w:firstLine="794"/>
        <w:rPr/>
      </w:pPr>
      <w:r>
        <w:rPr/>
        <w:t>4.4.4. ведет протокол заседания Регионального консилиума;</w:t>
      </w:r>
    </w:p>
    <w:p>
      <w:pPr>
        <w:pStyle w:val="Style26"/>
        <w:ind w:firstLine="794"/>
        <w:rPr/>
      </w:pPr>
      <w:r>
        <w:rPr/>
        <w:t>4.4.5. обеспечивает направление членам Регионального консилиума и ответственным исполнителям решений, принятых Региональным консилиумом; и хранение материалов по рассмотрению;</w:t>
      </w:r>
    </w:p>
    <w:p>
      <w:pPr>
        <w:pStyle w:val="Style26"/>
        <w:ind w:firstLine="794"/>
        <w:rPr/>
      </w:pPr>
      <w:r>
        <w:rPr/>
        <w:t>4.4.6. осуществляет организационно-техническое обеспечение Регионального консилиума.</w:t>
      </w:r>
    </w:p>
    <w:p>
      <w:pPr>
        <w:pStyle w:val="Style26"/>
        <w:ind w:firstLine="794"/>
        <w:rPr/>
      </w:pPr>
      <w:r>
        <w:rPr/>
        <w:t>4.5. Члены Регионального консилиума:</w:t>
      </w:r>
    </w:p>
    <w:p>
      <w:pPr>
        <w:pStyle w:val="Style26"/>
        <w:ind w:firstLine="794"/>
        <w:rPr/>
      </w:pPr>
      <w:r>
        <w:rPr/>
        <w:t>4.5.1. участвуют в заседании Регионального консилиума и его подготовке;</w:t>
      </w:r>
    </w:p>
    <w:p>
      <w:pPr>
        <w:pStyle w:val="Style26"/>
        <w:ind w:firstLine="794"/>
        <w:rPr/>
      </w:pPr>
      <w:r>
        <w:rPr/>
        <w:t>4.5.2. вносят предложения об отложении рассмотрения вопроса и о запросе дополнительных материалов к нему;</w:t>
      </w:r>
    </w:p>
    <w:p>
      <w:pPr>
        <w:pStyle w:val="Style26"/>
        <w:ind w:firstLine="794"/>
        <w:rPr/>
      </w:pPr>
      <w:r>
        <w:rPr/>
        <w:t>4.5.3. участвуют в обсуждении решений, принимаемых Региональным консилиумом по рассматриваемым вопросам, и голосуют при их принятии;</w:t>
      </w:r>
    </w:p>
    <w:p>
      <w:pPr>
        <w:pStyle w:val="Style26"/>
        <w:ind w:firstLine="794"/>
        <w:rPr>
          <w:color w:val="000000"/>
        </w:rPr>
      </w:pPr>
      <w:r>
        <w:rPr>
          <w:color w:val="000000"/>
        </w:rPr>
        <w:t>4.5.4. предупреждаются об ответственности за неразглашение сведений, ставшие им известными в ходе заседаний, в том числе содержащиеся в представленных материалах и документах.</w:t>
      </w:r>
    </w:p>
    <w:p>
      <w:pPr>
        <w:pStyle w:val="Style26"/>
        <w:ind w:hanging="0"/>
        <w:rPr>
          <w:color w:val="000000"/>
        </w:rPr>
      </w:pPr>
      <w:r>
        <w:rPr>
          <w:color w:val="000000"/>
        </w:rPr>
      </w:r>
    </w:p>
    <w:p>
      <w:pPr>
        <w:pStyle w:val="Style26"/>
        <w:ind w:hanging="0"/>
        <w:rPr>
          <w:color w:val="000000"/>
        </w:rPr>
      </w:pPr>
      <w:r>
        <w:rPr>
          <w:color w:val="000000"/>
        </w:rPr>
      </w:r>
    </w:p>
    <w:p>
      <w:pPr>
        <w:pStyle w:val="Style26"/>
        <w:ind w:hanging="0"/>
        <w:rPr>
          <w:color w:val="000000"/>
        </w:rPr>
      </w:pPr>
      <w:r>
        <w:rPr>
          <w:color w:val="000000"/>
        </w:rPr>
      </w:r>
    </w:p>
    <w:p>
      <w:pPr>
        <w:pStyle w:val="Style26"/>
        <w:ind w:hanging="0"/>
        <w:rPr>
          <w:b/>
          <w:bCs/>
        </w:rPr>
      </w:pPr>
      <w:r>
        <w:rPr>
          <w:b/>
          <w:bCs/>
        </w:rPr>
        <w:tab/>
        <w:t xml:space="preserve">5. Срок действия и порядок пересмотра положения о Региональном консилиуме </w:t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>5.1. Срок действия Положения не ограничен. Положение действует до принятия нового.</w:t>
      </w:r>
    </w:p>
    <w:p>
      <w:pPr>
        <w:pStyle w:val="Style26"/>
        <w:ind w:firstLine="794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>5.2. Пересмотр Положения осуществляется в случае изменения функций Регионального консилиума, а также в других случаях в соответствии с действующим законодательством Российской Федерации.</w:t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6009" w:right="0" w:hanging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rFonts w:ascii="Liberation Serif" w:hAnsi="Liberation Serif"/>
        </w:rPr>
      </w:pPr>
      <w:r>
        <w:rPr/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701" w:right="567" w:gutter="0" w:header="720" w:top="1134" w:footer="473" w:bottom="88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Tahoma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rFonts w:ascii="Times New Roman" w:hAnsi="Times New Roman" w:cs="Times New Roman"/>
        <w:sz w:val="28"/>
        <w:szCs w:val="28"/>
        <w:lang w:val="en-US"/>
      </w:rPr>
    </w:pPr>
    <w:r>
      <w:rPr>
        <w:rFonts w:cs="Times New Roman"/>
        <w:sz w:val="28"/>
        <w:szCs w:val="28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right"/>
      <w:outlineLvl w:val="0"/>
    </w:pPr>
    <w:rPr>
      <w:b/>
      <w:sz w:val="24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lineRule="auto" w:line="228"/>
      <w:ind w:firstLine="5103"/>
      <w:jc w:val="both"/>
      <w:outlineLvl w:val="3"/>
    </w:pPr>
    <w:rPr>
      <w:b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b w:val="false"/>
      <w:bCs w:val="false"/>
    </w:rPr>
  </w:style>
  <w:style w:type="character" w:styleId="WW8Num3z0" w:customStyle="1">
    <w:name w:val="WW8Num3z0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1z0" w:customStyle="1">
    <w:name w:val="WW8Num1z0"/>
    <w:qFormat/>
    <w:rPr/>
  </w:style>
  <w:style w:type="character" w:styleId="21" w:customStyle="1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41" w:customStyle="1">
    <w:name w:val="Заголовок 4 Знак"/>
    <w:qFormat/>
    <w:rPr>
      <w:b/>
      <w:sz w:val="28"/>
      <w:szCs w:val="24"/>
    </w:rPr>
  </w:style>
  <w:style w:type="character" w:styleId="Style11">
    <w:name w:val="Emphasis"/>
    <w:qFormat/>
    <w:rPr>
      <w:i/>
      <w:iCs/>
    </w:rPr>
  </w:style>
  <w:style w:type="character" w:styleId="Pagenumber">
    <w:name w:val="page number"/>
    <w:qFormat/>
    <w:rPr/>
  </w:style>
  <w:style w:type="character" w:styleId="Style12" w:customStyle="1">
    <w:name w:val="Текст Знак"/>
    <w:qFormat/>
    <w:rPr>
      <w:rFonts w:ascii="Calibri" w:hAnsi="Calibri" w:eastAsia="Calibri" w:cs="Calibri"/>
      <w:sz w:val="22"/>
      <w:szCs w:val="21"/>
    </w:rPr>
  </w:style>
  <w:style w:type="character" w:styleId="Style13" w:customStyle="1">
    <w:name w:val="Верхний колонтитул Знак"/>
    <w:qFormat/>
    <w:rPr>
      <w:sz w:val="28"/>
    </w:rPr>
  </w:style>
  <w:style w:type="character" w:styleId="Style14" w:customStyle="1">
    <w:name w:val="Основной текст с отступом Знак"/>
    <w:qFormat/>
    <w:rPr>
      <w:bCs/>
      <w:sz w:val="28"/>
    </w:rPr>
  </w:style>
  <w:style w:type="character" w:styleId="Style15" w:customStyle="1">
    <w:name w:val="Заголовок Знак"/>
    <w:qFormat/>
    <w:rPr>
      <w:sz w:val="36"/>
    </w:rPr>
  </w:style>
  <w:style w:type="character" w:styleId="FontStyle53" w:customStyle="1">
    <w:name w:val="Font Style53"/>
    <w:qFormat/>
    <w:rPr>
      <w:rFonts w:ascii="Times New Roman" w:hAnsi="Times New Roman" w:cs="Times New Roman"/>
      <w:spacing w:val="20"/>
      <w:sz w:val="24"/>
      <w:szCs w:val="24"/>
    </w:rPr>
  </w:style>
  <w:style w:type="character" w:styleId="Apple-converted-space" w:customStyle="1">
    <w:name w:val="apple-converted-space"/>
    <w:qFormat/>
    <w:rPr/>
  </w:style>
  <w:style w:type="character" w:styleId="Style16" w:customStyle="1">
    <w:name w:val="Символ нумерации"/>
    <w:qFormat/>
    <w:rPr>
      <w:b w:val="false"/>
      <w:bCs w:val="false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jc w:val="both"/>
    </w:pPr>
    <w:rPr>
      <w:sz w:val="36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Title"/>
    <w:basedOn w:val="Normal"/>
    <w:next w:val="Style19"/>
    <w:uiPriority w:val="10"/>
    <w:qFormat/>
    <w:pPr>
      <w:ind w:left="289" w:right="432" w:hanging="0"/>
      <w:jc w:val="center"/>
    </w:pPr>
    <w:rPr>
      <w:b/>
      <w:bCs/>
      <w:szCs w:val="28"/>
      <w:lang w:eastAsia="en-U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jc w:val="both"/>
    </w:pPr>
    <w:rPr>
      <w:b/>
    </w:rPr>
  </w:style>
  <w:style w:type="paragraph" w:styleId="PlainText">
    <w:name w:val="Plain Text"/>
    <w:basedOn w:val="Normal"/>
    <w:qFormat/>
    <w:pPr/>
    <w:rPr>
      <w:rFonts w:ascii="Calibri" w:hAnsi="Calibri" w:eastAsia="Calibri" w:cs="Calibri"/>
      <w:sz w:val="22"/>
      <w:szCs w:val="21"/>
    </w:rPr>
  </w:style>
  <w:style w:type="paragraph" w:styleId="BodyTextIndent3">
    <w:name w:val="Body Text Indent 3"/>
    <w:basedOn w:val="Normal"/>
    <w:qFormat/>
    <w:pPr>
      <w:ind w:firstLine="851"/>
      <w:jc w:val="both"/>
    </w:pPr>
    <w:rPr>
      <w:bCs/>
    </w:rPr>
  </w:style>
  <w:style w:type="paragraph" w:styleId="Style24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pPr>
      <w:ind w:firstLine="709"/>
      <w:jc w:val="both"/>
    </w:pPr>
    <w:rPr>
      <w:bCs/>
    </w:rPr>
  </w:style>
  <w:style w:type="paragraph" w:styleId="Style27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BodyText3">
    <w:name w:val="Body Text 3"/>
    <w:basedOn w:val="Normal"/>
    <w:qFormat/>
    <w:pPr>
      <w:spacing w:lineRule="auto" w:line="228"/>
      <w:jc w:val="center"/>
    </w:pPr>
    <w:rPr>
      <w:b/>
    </w:rPr>
  </w:style>
  <w:style w:type="paragraph" w:styleId="BodyTextIndent2">
    <w:name w:val="Body Text Indent 2"/>
    <w:basedOn w:val="Normal"/>
    <w:qFormat/>
    <w:pPr>
      <w:ind w:firstLine="709"/>
      <w:jc w:val="both"/>
    </w:pPr>
    <w:rPr>
      <w:szCs w:val="24"/>
    </w:rPr>
  </w:style>
  <w:style w:type="paragraph" w:styleId="ListParagraph">
    <w:name w:val="List Paragraph"/>
    <w:basedOn w:val="Normal"/>
    <w:qFormat/>
    <w:pPr>
      <w:ind w:left="285" w:hanging="0"/>
    </w:pPr>
    <w:rPr>
      <w:lang w:eastAsia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>
      <w:lang w:eastAsia="en-US"/>
    </w:rPr>
  </w:style>
  <w:style w:type="paragraph" w:styleId="Style3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Application>LibreOffice/7.5.2.1$Linux_X86_64 LibreOffice_project/50$Build-1</Application>
  <AppVersion>15.0000</AppVersion>
  <Pages>4</Pages>
  <Words>859</Words>
  <Characters>6381</Characters>
  <CharactersWithSpaces>7212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2025-02-15T08:13:00Z</dcterms:created>
  <dc:creator>Olga</dc:creator>
  <dc:description/>
  <dc:language>ru-RU</dc:language>
  <cp:lastModifiedBy/>
  <cp:lastPrinted>2025-03-19T17:15:35Z</cp:lastPrinted>
  <dcterms:modified xsi:type="dcterms:W3CDTF">2026-07-30T15:03:16Z</dcterms:modified>
  <cp:revision>92</cp:revision>
  <dc:subject/>
  <dc:title>Межведомственная комиссия по делам несовершеннолетних при Правительстве области сердечно поздравляет коллектив социально-реабилитационного центра для несовершеннолетних с приютом “Возрождение” с его славным пятилетием.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1F1571F486EA4BF1A1D8B9923FFCB30F_13</vt:lpwstr>
  </property>
  <property fmtid="{D5CDD505-2E9C-101B-9397-08002B2CF9AE}" pid="3" name="KSOProductBuildVer">
    <vt:lpwstr>1049-12.2.0.19805</vt:lpwstr>
  </property>
</Properties>
</file>