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right"/>
        <w:rPr/>
      </w:pPr>
      <w:r>
        <w:rPr/>
      </w:r>
    </w:p>
    <w:p>
      <w:pPr>
        <w:pStyle w:val="Normal"/>
        <w:ind w:left="4962" w:hanging="0"/>
        <w:rPr/>
      </w:pPr>
      <w:r>
        <w:rPr/>
        <w:t>УТВЕРЖДЕНО</w:t>
      </w:r>
    </w:p>
    <w:p>
      <w:pPr>
        <w:pStyle w:val="Normal"/>
        <w:ind w:left="4962" w:hanging="0"/>
        <w:rPr>
          <w:sz w:val="20"/>
          <w:szCs w:val="20"/>
        </w:rPr>
      </w:pPr>
      <w:r>
        <w:rPr/>
        <w:t>постановлением Республиканской комиссии по делам несовершеннолетних и защите их прав в Луганской Народной Республике</w:t>
      </w:r>
    </w:p>
    <w:p>
      <w:pPr>
        <w:pStyle w:val="Normal"/>
        <w:ind w:left="4962" w:hanging="0"/>
        <w:rPr>
          <w:sz w:val="20"/>
          <w:szCs w:val="20"/>
        </w:rPr>
      </w:pPr>
      <w:r>
        <w:rPr/>
        <w:t>от 26.12.2025 № 113</w:t>
      </w:r>
    </w:p>
    <w:p>
      <w:pPr>
        <w:pStyle w:val="Normal"/>
        <w:ind w:left="4962" w:hanging="0"/>
        <w:rPr/>
      </w:pPr>
      <w:r>
        <w:rPr/>
      </w:r>
    </w:p>
    <w:p>
      <w:pPr>
        <w:pStyle w:val="Normal"/>
        <w:ind w:left="4962" w:hanging="0"/>
        <w:rPr>
          <w:bCs/>
        </w:rPr>
      </w:pPr>
      <w:r>
        <w:rPr>
          <w:bCs/>
        </w:rPr>
      </w:r>
    </w:p>
    <w:p>
      <w:pPr>
        <w:pStyle w:val="Normal"/>
        <w:ind w:left="4962" w:hanging="0"/>
        <w:rPr>
          <w:bCs/>
        </w:rPr>
      </w:pPr>
      <w:r>
        <w:rPr>
          <w:bCs/>
        </w:rPr>
      </w:r>
    </w:p>
    <w:p>
      <w:pPr>
        <w:pStyle w:val="Normal"/>
        <w:jc w:val="center"/>
        <w:rPr/>
      </w:pPr>
      <w:r>
        <w:rPr/>
        <w:t>Положение</w:t>
      </w:r>
    </w:p>
    <w:p>
      <w:pPr>
        <w:pStyle w:val="Normal"/>
        <w:jc w:val="center"/>
        <w:rPr/>
      </w:pPr>
      <w:r>
        <w:rPr/>
        <w:t>о межведомственной рабочей группе по изучению деятельности органов и учреждений системы профилактики и порядок их работы с 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 жизнь, здоровье и половую неприкосновенность несовершеннолетних</w:t>
      </w:r>
    </w:p>
    <w:p>
      <w:pPr>
        <w:pStyle w:val="Normal"/>
        <w:jc w:val="center"/>
        <w:rPr/>
      </w:pPr>
      <w:r>
        <w:rPr/>
        <w:t xml:space="preserve"> </w:t>
      </w:r>
      <w:r>
        <w:rPr/>
        <w:t>при Республиканской комиссии по делам несовершеннолетних и защите их прав в Луганской Народной Республике</w:t>
      </w:r>
    </w:p>
    <w:p>
      <w:pPr>
        <w:pStyle w:val="Normal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2" w:leader="none"/>
          <w:tab w:val="left" w:pos="284" w:leader="none"/>
          <w:tab w:val="left" w:pos="3686" w:leader="none"/>
        </w:tabs>
        <w:ind w:left="0" w:hanging="0"/>
        <w:jc w:val="center"/>
        <w:rPr/>
      </w:pPr>
      <w:r>
        <w:rPr/>
        <w:t>Общие положения</w:t>
      </w:r>
    </w:p>
    <w:p>
      <w:pPr>
        <w:pStyle w:val="ListParagraph"/>
        <w:ind w:left="1080" w:hanging="0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1.1. Межведомственная рабочая группа по изучению деятельности органов и учреждений системы профилактики и порядок их работы с 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 жизнь, здоровье и половую неприкосновенность несовершеннолетних при Республиканской комиссии по делам несовершеннолетних и защите их прав</w:t>
        <w:br/>
        <w:t>в Луганской Народной Республике (далее – МРГ) создана с целью оперативного выявления причин и условий неэффективной деятельности органов и учреждений системы профилактики  по организации профилактической работы с несовершеннолетними и их семьями, а также организации индивидуальной профилактической работы в отношении категории лиц, указанных в ст. 5 Федерального закона от 24 июня 1999 г. № 120-ФЗ «Об основах системы профилактики безнадзорности и правонарушений несовершеннолетних».</w:t>
      </w:r>
    </w:p>
    <w:p>
      <w:pPr>
        <w:pStyle w:val="Normal"/>
        <w:ind w:firstLine="709"/>
        <w:jc w:val="both"/>
        <w:rPr/>
      </w:pPr>
      <w:r>
        <w:rPr/>
        <w:t>1.2. МРГ – это группа специалистов органов и учреждений системы профилактики, включая членов Республиканской комиссии по делам несовершеннолетних и защите их прав в Луганской Народной Республике (далее – РКДН и ЗП в ЛНР), объединенная общей целью, выполнением задач и общим подходом, для реализации которых она поддерживает внутри себя взаимную ответственность.</w:t>
      </w:r>
    </w:p>
    <w:p>
      <w:pPr>
        <w:pStyle w:val="Normal"/>
        <w:jc w:val="both"/>
        <w:rPr/>
      </w:pPr>
      <w:r>
        <w:rPr/>
        <w:tab/>
        <w:t>1.3. МРГ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Правительства Российской Федерации, законами Луганской Народной Республики, указами</w:t>
        <w:br/>
        <w:t>и распоряжениями Главы Луганской Народной Республики, постановлениями</w:t>
        <w:br/>
        <w:t>и распоряжениями Правительства Луганской Народной Республики, постановлениями РКДН и ЗП ЛНР, а также настоящим Положением.</w:t>
      </w:r>
    </w:p>
    <w:p>
      <w:pPr>
        <w:pStyle w:val="Normal"/>
        <w:ind w:firstLine="709"/>
        <w:jc w:val="both"/>
        <w:rPr/>
      </w:pPr>
      <w:r>
        <w:rPr/>
        <w:t>1.5. Проверка МРГ органов системы профилактики – это мероприятия, направленные на выявление нарушений в деятельности органов и учреждений этой системы, а также на устранение причин и условий, способствующих нарушениям, проводится внепланово на основании: поручения председателя РКДН и ЗП в ЛНР или председателя МРГ, в связи с чрезвычайной ситуации, случившейся с несовершеннолетним,  поступления письменного обращения или заявления граждан о нарушениях прав и законных интересов несовершеннолетних, информации от органов государственного контроля о выявленных нарушениях.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ind w:left="0" w:hanging="0"/>
        <w:jc w:val="center"/>
        <w:rPr/>
      </w:pPr>
      <w:r>
        <w:rPr/>
        <w:t>Задача МРГ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ind w:left="0" w:firstLine="850"/>
        <w:jc w:val="both"/>
        <w:rPr/>
      </w:pPr>
      <w:r>
        <w:rPr/>
        <w:t>2.1. Основной задачей МРГ является выявление и устранение причин неэффективной деятельности органов и учреждений системы профилактики по предупреждению безнадзорности, беспризорности, правонарушений и антиобщественных действий несовершеннолетних.</w:t>
      </w:r>
    </w:p>
    <w:p>
      <w:pPr>
        <w:pStyle w:val="ListParagraph"/>
        <w:ind w:left="0" w:firstLine="850"/>
        <w:jc w:val="both"/>
        <w:rPr/>
      </w:pPr>
      <w:r>
        <w:rPr/>
      </w:r>
    </w:p>
    <w:p>
      <w:pPr>
        <w:pStyle w:val="ListParagraph"/>
        <w:ind w:left="0" w:firstLine="850"/>
        <w:jc w:val="center"/>
        <w:rPr/>
      </w:pPr>
      <w:r>
        <w:rPr/>
        <w:t>III. Полномочия МРГ</w:t>
      </w:r>
    </w:p>
    <w:p>
      <w:pPr>
        <w:pStyle w:val="ListParagraph"/>
        <w:ind w:left="0" w:firstLine="850"/>
        <w:jc w:val="center"/>
        <w:rPr/>
      </w:pPr>
      <w:r>
        <w:rPr/>
      </w:r>
    </w:p>
    <w:p>
      <w:pPr>
        <w:pStyle w:val="ListParagraph"/>
        <w:ind w:left="0" w:firstLine="850"/>
        <w:jc w:val="both"/>
        <w:rPr/>
      </w:pPr>
      <w:r>
        <w:rPr/>
        <w:t>3.1. В полномочия МРГ входят:</w:t>
      </w:r>
    </w:p>
    <w:p>
      <w:pPr>
        <w:pStyle w:val="ListParagraph"/>
        <w:ind w:left="0" w:firstLine="850"/>
        <w:jc w:val="both"/>
        <w:rPr/>
      </w:pPr>
      <w:r>
        <w:rPr/>
        <w:t>- изучение нормативно-правовых и локальных актов, которые регулируют деятельность органов и учреждений системы профилактики, сверяет их актуальность, проработанность и применение;</w:t>
      </w:r>
    </w:p>
    <w:p>
      <w:pPr>
        <w:pStyle w:val="ListParagraph"/>
        <w:ind w:left="0" w:firstLine="850"/>
        <w:jc w:val="both"/>
        <w:rPr/>
      </w:pPr>
      <w:r>
        <w:rPr/>
        <w:t>- проверка личных дел детей и (или) семей, находящихся в социально опасном положении (далее – СОП), с которыми организована индивидуальная профилактическая работа (далее – ИПР), находящихся в муниципальных комиссиях по делам несовершеннолетних и защите их прав, а также в организации где находится или обучается ребенок.</w:t>
      </w:r>
    </w:p>
    <w:p>
      <w:pPr>
        <w:pStyle w:val="ListParagraph"/>
        <w:ind w:left="0" w:firstLine="850"/>
        <w:jc w:val="both"/>
        <w:rPr/>
      </w:pPr>
      <w:r>
        <w:rPr/>
        <w:t>- установка соответствия условий воспитания детей в учреждениях требованиям законодательства, а также принципам семейно-ориентированного подхода.</w:t>
      </w:r>
    </w:p>
    <w:p>
      <w:pPr>
        <w:pStyle w:val="ListParagraph"/>
        <w:ind w:left="0" w:hanging="0"/>
        <w:jc w:val="both"/>
        <w:rPr/>
      </w:pPr>
      <w:r>
        <w:rPr/>
        <w:tab/>
        <w:t xml:space="preserve"> - анализирует обнаруженные противоречия, недоработки и ошибки, указывает на необходимые коррективы, дает рекомендации.</w:t>
      </w:r>
    </w:p>
    <w:p>
      <w:pPr>
        <w:pStyle w:val="ListParagraph"/>
        <w:ind w:left="0" w:firstLine="85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lang w:val="en-US"/>
        </w:rPr>
        <w:t>IV</w:t>
      </w:r>
      <w:r>
        <w:rPr/>
        <w:t>. Состав МРГ</w:t>
      </w:r>
    </w:p>
    <w:p>
      <w:pPr>
        <w:pStyle w:val="Normal"/>
        <w:jc w:val="center"/>
        <w:rPr/>
      </w:pPr>
      <w:r>
        <w:rPr/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В состав МРГ входят: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председатель МРГ (заместитель председателя РКДН и ЗП в ЛНР);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секретарь (ответственный секретарь РКДН и ЗП в ЛНР);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специалисты органов и учреждений системы профилактики, включая членов РКДН и ЗП в ЛНР;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Состав МРГ для проверки каждого случая неэффективной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 определяется индивидуально.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lang w:val="en-US"/>
        </w:rPr>
        <w:t>V</w:t>
      </w:r>
      <w:r>
        <w:rPr/>
        <w:t>. Права МРГ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ab/>
        <w:t>4.1. МРГ в пределах свой компетенции имеет право:</w:t>
      </w:r>
    </w:p>
    <w:p>
      <w:pPr>
        <w:pStyle w:val="Normal"/>
        <w:jc w:val="both"/>
        <w:rPr/>
      </w:pPr>
      <w:r>
        <w:rPr/>
        <w:tab/>
        <w:t>- запрашивать у органов и учреждений системы профилактики информацию и материалы, необходимые для работы МРГ;</w:t>
      </w:r>
    </w:p>
    <w:p>
      <w:pPr>
        <w:pStyle w:val="Normal"/>
        <w:jc w:val="both"/>
        <w:rPr/>
      </w:pPr>
      <w:r>
        <w:rPr/>
        <w:tab/>
        <w:t>- анализировать выявленные органами и учреждениями системы профилактики причины и условия безнадзорности беспризорности, правонарушений и антиобщественных действий несовершеннолетних, принимать меры по их устранению;</w:t>
      </w:r>
    </w:p>
    <w:p>
      <w:pPr>
        <w:pStyle w:val="Normal"/>
        <w:jc w:val="both"/>
        <w:rPr/>
      </w:pPr>
      <w:r>
        <w:rPr/>
        <w:tab/>
        <w:t>- вносить предложения по организации деятельности органа или учреждения системы профилактики.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>VI. Организация работы МРГ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 w:val="20"/>
          <w:szCs w:val="20"/>
        </w:rPr>
      </w:pPr>
      <w:r>
        <w:rPr/>
        <w:t>5.1. Изучение деятельности органов и учреждений системы профилактики и порядок их работы с несовершеннолетними и семьями, находящимися в социально опасном положении, а также деятельности по профилактике вовлечения несовершеннолетних в совершение правонарушений и антиобщественных действий, предупреждению случаев насилия и всех форм посягательств на жизнь, здоровье и половую неприкосновенность несовершеннолетних МРГ проводится по мере необходимости согласно поручению председателя  РКДН и ЗП в ЛНР или  председателя МРГ.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 Формы проверок: выездные или документарные.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5.3. Член МРГ может осуществлять проверочные мероприятия органов</w:t>
        <w:br/>
        <w:t>и учреждений системы профилактики только по подведомственности.</w:t>
      </w:r>
    </w:p>
    <w:p>
      <w:pPr>
        <w:pStyle w:val="Normal"/>
        <w:ind w:firstLine="709"/>
        <w:jc w:val="both"/>
        <w:rPr/>
      </w:pPr>
      <w:r>
        <w:rPr/>
        <w:t>5.4. Итогами деятельности МРГ является анализ деятельности органов</w:t>
        <w:br/>
        <w:t xml:space="preserve">и учреждений системы профилактики в форме справки (приложение № 1). </w:t>
      </w:r>
    </w:p>
    <w:p>
      <w:pPr>
        <w:pStyle w:val="Normal"/>
        <w:ind w:firstLine="709"/>
        <w:jc w:val="both"/>
        <w:rPr/>
      </w:pPr>
      <w:r>
        <w:rPr/>
        <w:t>5.5. Итоги деятельности МРГ направляются в РКДН и ЗП в ЛНР для рассмотрения и принятия решения.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/>
      </w:pPr>
      <w:r>
        <w:rPr/>
        <w:t>VII. Ответственность</w:t>
      </w:r>
    </w:p>
    <w:p>
      <w:pPr>
        <w:pStyle w:val="Normal"/>
        <w:ind w:firstLine="709"/>
        <w:jc w:val="center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По результатам проверок органы и учреждения системы профилактики обязаны устранить выявленные нарушения в срок, указанный в справке. Также руководитель проверяемой организации должен представить отчёт об устранении нарушений в отдел координации деятельности комиссий</w:t>
        <w:br/>
        <w:t>по делам несовершеннолетних и защите их прав управления в сфере защиты прав и </w:t>
      </w:r>
      <w:bookmarkStart w:id="0" w:name="_GoBack"/>
      <w:bookmarkEnd w:id="0"/>
      <w:r>
        <w:rPr/>
        <w:t>интересов несовершеннолетних Министерства образования и науки Луганской Народной Республики.</w:t>
      </w:r>
    </w:p>
    <w:p>
      <w:pPr>
        <w:pStyle w:val="Normal"/>
        <w:ind w:firstLine="709"/>
        <w:jc w:val="right"/>
        <w:rPr/>
      </w:pPr>
      <w:r>
        <w:rPr/>
        <w:t>Приложение № 1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center"/>
        <w:rPr/>
      </w:pPr>
      <w:r>
        <w:rPr/>
        <w:t xml:space="preserve">Справка </w:t>
      </w:r>
    </w:p>
    <w:p>
      <w:pPr>
        <w:pStyle w:val="Normal"/>
        <w:ind w:firstLine="709"/>
        <w:jc w:val="center"/>
        <w:rPr/>
      </w:pPr>
      <w:r>
        <w:rPr/>
        <w:t>по результатам проверки деятельности</w:t>
      </w:r>
    </w:p>
    <w:p>
      <w:pPr>
        <w:pStyle w:val="Normal"/>
        <w:ind w:firstLine="709"/>
        <w:jc w:val="center"/>
        <w:rPr/>
      </w:pPr>
      <w:r>
        <w:rPr/>
        <w:t>_________________________________________</w:t>
      </w:r>
    </w:p>
    <w:p>
      <w:pPr>
        <w:pStyle w:val="Normal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учреждения (органа) системы профилактики)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hanging="0"/>
        <w:jc w:val="both"/>
        <w:rPr/>
      </w:pPr>
      <w:r>
        <w:rPr/>
        <w:t>Дата начала проверки: ____________________</w:t>
      </w:r>
    </w:p>
    <w:p>
      <w:pPr>
        <w:pStyle w:val="Normal"/>
        <w:ind w:hanging="0"/>
        <w:jc w:val="both"/>
        <w:rPr/>
      </w:pPr>
      <w:r>
        <w:rPr/>
        <w:t xml:space="preserve">Дата завершения проверки: _______________ </w:t>
      </w:r>
    </w:p>
    <w:p>
      <w:pPr>
        <w:pStyle w:val="Normal"/>
        <w:ind w:hanging="0"/>
        <w:jc w:val="both"/>
        <w:rPr/>
      </w:pPr>
      <w:r>
        <w:rPr/>
      </w:r>
    </w:p>
    <w:p>
      <w:pPr>
        <w:pStyle w:val="Normal"/>
        <w:ind w:hanging="0"/>
        <w:jc w:val="both"/>
        <w:rPr/>
      </w:pPr>
      <w:r>
        <w:rPr/>
        <w:t>МРГ в составе:</w:t>
      </w:r>
    </w:p>
    <w:p>
      <w:pPr>
        <w:pStyle w:val="Normal"/>
        <w:ind w:hanging="0"/>
        <w:jc w:val="both"/>
        <w:rPr/>
      </w:pPr>
      <w:r>
        <w:rPr/>
        <w:t xml:space="preserve">1. _____________________________________ </w:t>
      </w:r>
    </w:p>
    <w:p>
      <w:pPr>
        <w:pStyle w:val="Normal"/>
        <w:ind w:hanging="0"/>
        <w:jc w:val="both"/>
        <w:rPr/>
      </w:pPr>
      <w:r>
        <w:rPr/>
        <w:tab/>
        <w:tab/>
        <w:t>(Ф.И.О., должность)</w:t>
      </w:r>
    </w:p>
    <w:p>
      <w:pPr>
        <w:pStyle w:val="Normal"/>
        <w:ind w:hanging="0"/>
        <w:jc w:val="both"/>
        <w:rPr/>
      </w:pPr>
      <w:r>
        <w:rPr/>
        <w:t>2. _____________________________________</w:t>
      </w:r>
    </w:p>
    <w:p>
      <w:pPr>
        <w:pStyle w:val="Normal"/>
        <w:ind w:hanging="0"/>
        <w:jc w:val="both"/>
        <w:rPr/>
      </w:pPr>
      <w:r>
        <w:rPr/>
        <w:tab/>
        <w:tab/>
        <w:t>(Ф.И.О., должность)</w:t>
      </w:r>
    </w:p>
    <w:p>
      <w:pPr>
        <w:pStyle w:val="Normal"/>
        <w:ind w:hanging="0"/>
        <w:jc w:val="both"/>
        <w:rPr/>
      </w:pPr>
      <w:r>
        <w:rPr/>
        <w:t>3. _____________________________________</w:t>
      </w:r>
    </w:p>
    <w:p>
      <w:pPr>
        <w:pStyle w:val="Normal"/>
        <w:ind w:hanging="0"/>
        <w:jc w:val="both"/>
        <w:rPr/>
      </w:pPr>
      <w:r>
        <w:rPr/>
        <w:tab/>
        <w:tab/>
        <w:t>(Ф.И.О., должность)</w:t>
      </w:r>
    </w:p>
    <w:p>
      <w:pPr>
        <w:pStyle w:val="Normal"/>
        <w:ind w:hanging="0"/>
        <w:jc w:val="both"/>
        <w:rPr/>
      </w:pPr>
      <w:r>
        <w:rPr/>
      </w:r>
    </w:p>
    <w:p>
      <w:pPr>
        <w:pStyle w:val="Normal"/>
        <w:ind w:hanging="0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по результатам выездной проверки, проведенной в соответствии с ___________________________________________________________________ </w:t>
      </w:r>
    </w:p>
    <w:p>
      <w:pPr>
        <w:pStyle w:val="Normal"/>
        <w:ind w:firstLine="709"/>
        <w:jc w:val="both"/>
        <w:rPr/>
      </w:pPr>
      <w:r>
        <w:rPr/>
        <w:tab/>
        <w:tab/>
        <w:tab/>
        <w:tab/>
      </w:r>
      <w:r>
        <w:rPr>
          <w:sz w:val="12"/>
          <w:szCs w:val="12"/>
        </w:rPr>
        <w:t>(наименование и реквизиты документа)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При проведении проверки присутствовали:</w:t>
      </w:r>
    </w:p>
    <w:p>
      <w:pPr>
        <w:pStyle w:val="Normal"/>
        <w:ind w:firstLine="709"/>
        <w:jc w:val="both"/>
        <w:rPr/>
      </w:pPr>
      <w:r>
        <w:rPr/>
        <w:t xml:space="preserve">1. _____________________________________ </w:t>
      </w:r>
    </w:p>
    <w:p>
      <w:pPr>
        <w:pStyle w:val="Normal"/>
        <w:ind w:firstLine="709"/>
        <w:jc w:val="both"/>
        <w:rPr/>
      </w:pPr>
      <w:r>
        <w:rPr/>
        <w:tab/>
        <w:tab/>
      </w:r>
      <w:r>
        <w:rPr>
          <w:sz w:val="16"/>
          <w:szCs w:val="16"/>
        </w:rPr>
        <w:t>(Ф.И.О., должность)</w:t>
      </w:r>
    </w:p>
    <w:p>
      <w:pPr>
        <w:pStyle w:val="Normal"/>
        <w:ind w:firstLine="709"/>
        <w:jc w:val="both"/>
        <w:rPr/>
      </w:pPr>
      <w:r>
        <w:rPr/>
        <w:t>2. _____________________________________</w:t>
      </w:r>
    </w:p>
    <w:p>
      <w:pPr>
        <w:pStyle w:val="Normal"/>
        <w:ind w:firstLine="709"/>
        <w:jc w:val="both"/>
        <w:rPr/>
      </w:pPr>
      <w:r>
        <w:rPr/>
        <w:tab/>
        <w:tab/>
      </w:r>
      <w:r>
        <w:rPr>
          <w:sz w:val="16"/>
          <w:szCs w:val="16"/>
        </w:rPr>
        <w:t>(Ф.И.О., должность)</w:t>
      </w:r>
    </w:p>
    <w:p>
      <w:pPr>
        <w:pStyle w:val="Normal"/>
        <w:ind w:firstLine="709"/>
        <w:jc w:val="both"/>
        <w:rPr/>
      </w:pPr>
      <w:r>
        <w:rPr/>
        <w:t>3. _____________________________________</w:t>
      </w:r>
    </w:p>
    <w:p>
      <w:pPr>
        <w:pStyle w:val="Normal"/>
        <w:ind w:firstLine="709"/>
        <w:jc w:val="both"/>
        <w:rPr/>
      </w:pPr>
      <w:r>
        <w:rPr/>
        <w:tab/>
        <w:tab/>
      </w:r>
      <w:r>
        <w:rPr>
          <w:sz w:val="16"/>
          <w:szCs w:val="16"/>
        </w:rPr>
        <w:t>(Ф.И.О., должность)</w:t>
      </w:r>
    </w:p>
    <w:p>
      <w:pPr>
        <w:pStyle w:val="Normal"/>
        <w:ind w:firstLine="709"/>
        <w:jc w:val="both"/>
        <w:rPr/>
      </w:pPr>
      <w:r>
        <w:rPr/>
        <w:t>Для проведения проверки были представлены следующие документы:</w:t>
      </w:r>
    </w:p>
    <w:p>
      <w:pPr>
        <w:pStyle w:val="Normal"/>
        <w:ind w:firstLine="709"/>
        <w:jc w:val="both"/>
        <w:rPr/>
      </w:pPr>
      <w:r>
        <w:rPr/>
        <w:t xml:space="preserve">1. _____________________________________ </w:t>
      </w:r>
    </w:p>
    <w:p>
      <w:pPr>
        <w:pStyle w:val="Normal"/>
        <w:ind w:firstLine="709"/>
        <w:jc w:val="both"/>
        <w:rPr/>
      </w:pPr>
      <w:r>
        <w:rPr/>
        <w:t>2. _____________________________________</w:t>
      </w:r>
    </w:p>
    <w:p>
      <w:pPr>
        <w:pStyle w:val="Normal"/>
        <w:ind w:firstLine="709"/>
        <w:jc w:val="both"/>
        <w:rPr/>
      </w:pPr>
      <w:r>
        <w:rPr/>
        <w:t>3. _____________________________________</w:t>
      </w:r>
    </w:p>
    <w:p>
      <w:pPr>
        <w:pStyle w:val="Normal"/>
        <w:ind w:firstLine="709"/>
        <w:jc w:val="both"/>
        <w:rPr/>
      </w:pPr>
      <w:r>
        <w:rPr/>
        <w:t>В ходе проверки установлено:</w:t>
      </w:r>
    </w:p>
    <w:p>
      <w:pPr>
        <w:pStyle w:val="Normal"/>
        <w:ind w:firstLine="709"/>
        <w:jc w:val="both"/>
        <w:rPr/>
      </w:pPr>
      <w:r>
        <w:rPr/>
        <w:t>1. _____________________________________</w:t>
      </w:r>
    </w:p>
    <w:p>
      <w:pPr>
        <w:pStyle w:val="Normal"/>
        <w:ind w:firstLine="709"/>
        <w:jc w:val="both"/>
        <w:rPr/>
      </w:pPr>
      <w:r>
        <w:rPr/>
        <w:t>2. _____________________________________</w:t>
      </w:r>
    </w:p>
    <w:p>
      <w:pPr>
        <w:pStyle w:val="Normal"/>
        <w:ind w:firstLine="709"/>
        <w:jc w:val="both"/>
        <w:rPr/>
      </w:pPr>
      <w:r>
        <w:rPr/>
        <w:t>3. _____________________________________</w:t>
      </w:r>
    </w:p>
    <w:p>
      <w:pPr>
        <w:pStyle w:val="Normal"/>
        <w:ind w:firstLine="709"/>
        <w:jc w:val="both"/>
        <w:rPr/>
      </w:pPr>
      <w:r>
        <w:rPr/>
        <w:t>Выводы и предложения:</w:t>
      </w:r>
    </w:p>
    <w:p>
      <w:pPr>
        <w:pStyle w:val="Normal"/>
        <w:ind w:firstLine="709"/>
        <w:jc w:val="both"/>
        <w:rPr/>
      </w:pPr>
      <w:r>
        <w:rPr/>
        <w:t xml:space="preserve">1. _____________________________________ </w:t>
      </w:r>
    </w:p>
    <w:p>
      <w:pPr>
        <w:pStyle w:val="Normal"/>
        <w:ind w:firstLine="709"/>
        <w:jc w:val="both"/>
        <w:rPr/>
      </w:pPr>
      <w:r>
        <w:rPr/>
        <w:t>2. _____________________________________</w:t>
      </w:r>
    </w:p>
    <w:p>
      <w:pPr>
        <w:pStyle w:val="Normal"/>
        <w:ind w:firstLine="709"/>
        <w:jc w:val="both"/>
        <w:rPr/>
      </w:pPr>
      <w:r>
        <w:rPr/>
        <w:t>3. _____________________________________</w:t>
      </w:r>
    </w:p>
    <w:p>
      <w:pPr>
        <w:pStyle w:val="Normal"/>
        <w:ind w:firstLine="709"/>
        <w:jc w:val="both"/>
        <w:rPr/>
      </w:pPr>
      <w:r>
        <w:rPr/>
        <w:t>По результатам проверки необходимо:</w:t>
      </w:r>
    </w:p>
    <w:p>
      <w:pPr>
        <w:pStyle w:val="Normal"/>
        <w:ind w:firstLine="709"/>
        <w:jc w:val="both"/>
        <w:rPr/>
      </w:pPr>
      <w:r>
        <w:rPr/>
        <w:t xml:space="preserve">1. _____________________________________ </w:t>
      </w:r>
    </w:p>
    <w:p>
      <w:pPr>
        <w:pStyle w:val="Normal"/>
        <w:ind w:firstLine="709"/>
        <w:jc w:val="both"/>
        <w:rPr/>
      </w:pPr>
      <w:r>
        <w:rPr/>
        <w:t>2. _____________________________________</w:t>
      </w:r>
    </w:p>
    <w:p>
      <w:pPr>
        <w:pStyle w:val="Normal"/>
        <w:ind w:firstLine="709"/>
        <w:jc w:val="both"/>
        <w:rPr/>
      </w:pPr>
      <w:r>
        <w:rPr/>
        <w:t>3. _____________________________________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Настоящая справка составлена в ______ экземплярах.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>Члены МРГ:</w:t>
      </w:r>
    </w:p>
    <w:p>
      <w:pPr>
        <w:pStyle w:val="Normal"/>
        <w:ind w:firstLine="709"/>
        <w:jc w:val="both"/>
        <w:rPr/>
      </w:pPr>
      <w:r>
        <w:rPr/>
        <w:t>1.__________________  ________________</w:t>
      </w:r>
    </w:p>
    <w:p>
      <w:pPr>
        <w:pStyle w:val="Normal"/>
        <w:ind w:firstLine="709"/>
        <w:jc w:val="both"/>
        <w:rPr/>
      </w:pPr>
      <w:r>
        <w:rPr/>
        <w:t xml:space="preserve">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>(подпись)                                                                       (Ф.И.О.)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2.__________________  ________________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16"/>
          <w:szCs w:val="16"/>
        </w:rPr>
        <w:t>(подпись)                                                                       (Ф.И.О.)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9" w:customStyle="1">
    <w:name w:val="Font Style19"/>
    <w:uiPriority w:val="99"/>
    <w:qFormat/>
    <w:rsid w:val="00f055b9"/>
    <w:rPr>
      <w:rFonts w:ascii="Times New Roman" w:hAnsi="Times New Roman" w:cs="Times New Roman"/>
      <w:b/>
      <w:bCs/>
      <w:sz w:val="26"/>
      <w:szCs w:val="26"/>
    </w:rPr>
  </w:style>
  <w:style w:type="character" w:styleId="Style14" w:customStyle="1">
    <w:name w:val="Основной текст_"/>
    <w:link w:val="3"/>
    <w:qFormat/>
    <w:rsid w:val="007317f7"/>
    <w:rPr>
      <w:sz w:val="26"/>
      <w:szCs w:val="26"/>
      <w:shd w:fill="FFFFFF" w:val="clear"/>
    </w:rPr>
  </w:style>
  <w:style w:type="character" w:styleId="1" w:customStyle="1">
    <w:name w:val="Основной текст1"/>
    <w:qFormat/>
    <w:rsid w:val="007317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2" w:customStyle="1">
    <w:name w:val="Основной текст2"/>
    <w:qFormat/>
    <w:rsid w:val="007317f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1" w:customStyle="1">
    <w:name w:val="Основной текст (2)_"/>
    <w:qFormat/>
    <w:rsid w:val="007317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2" w:customStyle="1">
    <w:name w:val="Основной текст (2)"/>
    <w:qFormat/>
    <w:rsid w:val="007317f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qFormat/>
    <w:rsid w:val="001434bf"/>
    <w:rPr>
      <w:rFonts w:ascii="Tahoma" w:hAnsi="Tahoma" w:cs="Tahoma"/>
      <w:sz w:val="16"/>
      <w:szCs w:val="16"/>
    </w:rPr>
  </w:style>
  <w:style w:type="character" w:styleId="Style16" w:customStyle="1">
    <w:name w:val="Текст сноски Знак"/>
    <w:basedOn w:val="DefaultParagraphFont"/>
    <w:semiHidden/>
    <w:qFormat/>
    <w:rsid w:val="00780f6f"/>
    <w:rPr/>
  </w:style>
  <w:style w:type="character" w:styleId="Style17" w:customStyle="1">
    <w:name w:val="Символ сноски"/>
    <w:semiHidden/>
    <w:unhideWhenUsed/>
    <w:qFormat/>
    <w:rsid w:val="00780f6f"/>
    <w:rPr>
      <w:vertAlign w:val="superscript"/>
    </w:rPr>
  </w:style>
  <w:style w:type="character" w:styleId="Style18">
    <w:name w:val="Footnote Reference"/>
    <w:rPr>
      <w:vertAlign w:val="superscript"/>
    </w:rPr>
  </w:style>
  <w:style w:type="character" w:styleId="Style19">
    <w:name w:val="Emphasis"/>
    <w:basedOn w:val="DefaultParagraphFont"/>
    <w:uiPriority w:val="20"/>
    <w:qFormat/>
    <w:rsid w:val="00b10c95"/>
    <w:rPr>
      <w:i/>
      <w:iCs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3f2197"/>
    <w:rPr>
      <w:sz w:val="28"/>
      <w:szCs w:val="28"/>
    </w:rPr>
  </w:style>
  <w:style w:type="character" w:styleId="Style21" w:customStyle="1">
    <w:name w:val="Нижний колонтитул Знак"/>
    <w:basedOn w:val="DefaultParagraphFont"/>
    <w:qFormat/>
    <w:rsid w:val="003f2197"/>
    <w:rPr>
      <w:sz w:val="28"/>
      <w:szCs w:val="28"/>
    </w:rPr>
  </w:style>
  <w:style w:type="character" w:styleId="Annotationreference">
    <w:name w:val="annotation reference"/>
    <w:basedOn w:val="DefaultParagraphFont"/>
    <w:semiHidden/>
    <w:unhideWhenUsed/>
    <w:qFormat/>
    <w:rsid w:val="003b1e0e"/>
    <w:rPr>
      <w:sz w:val="16"/>
      <w:szCs w:val="16"/>
    </w:rPr>
  </w:style>
  <w:style w:type="character" w:styleId="Style22" w:customStyle="1">
    <w:name w:val="Текст примечания Знак"/>
    <w:basedOn w:val="DefaultParagraphFont"/>
    <w:link w:val="Annotationtext"/>
    <w:semiHidden/>
    <w:qFormat/>
    <w:rsid w:val="003b1e0e"/>
    <w:rPr/>
  </w:style>
  <w:style w:type="character" w:styleId="Style23" w:customStyle="1">
    <w:name w:val="Символ концевой сноски"/>
    <w:qFormat/>
    <w:rPr>
      <w:vertAlign w:val="superscript"/>
    </w:rPr>
  </w:style>
  <w:style w:type="character" w:styleId="Style24">
    <w:name w:val="Endnote Reference"/>
    <w:rPr>
      <w:vertAlign w:val="superscript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6">
    <w:name w:val="Body Text"/>
    <w:basedOn w:val="Normal"/>
    <w:pPr>
      <w:spacing w:lineRule="auto" w:line="276" w:before="0" w:after="140"/>
    </w:pPr>
    <w:rPr/>
  </w:style>
  <w:style w:type="paragraph" w:styleId="Style27">
    <w:name w:val="List"/>
    <w:basedOn w:val="Style26"/>
    <w:pPr/>
    <w:rPr>
      <w:rFonts w:ascii="PT Astra Serif" w:hAnsi="PT Astra Serif" w:cs="Noto Sans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30">
    <w:name w:val="Title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3" w:customStyle="1">
    <w:name w:val="Основной текст3"/>
    <w:basedOn w:val="Normal"/>
    <w:link w:val="Style14"/>
    <w:qFormat/>
    <w:rsid w:val="007317f7"/>
    <w:pPr>
      <w:widowControl w:val="false"/>
      <w:shd w:val="clear" w:color="auto" w:fill="FFFFFF"/>
      <w:spacing w:lineRule="exact" w:line="322" w:before="0" w:after="300"/>
    </w:pPr>
    <w:rPr>
      <w:sz w:val="26"/>
      <w:szCs w:val="26"/>
    </w:rPr>
  </w:style>
  <w:style w:type="paragraph" w:styleId="BalloonText">
    <w:name w:val="Balloon Text"/>
    <w:basedOn w:val="Normal"/>
    <w:link w:val="Style15"/>
    <w:qFormat/>
    <w:rsid w:val="001434bf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a6ddc"/>
    <w:pPr>
      <w:spacing w:beforeAutospacing="1" w:afterAutospacing="1"/>
    </w:pPr>
    <w:rPr>
      <w:sz w:val="24"/>
      <w:szCs w:val="24"/>
    </w:rPr>
  </w:style>
  <w:style w:type="paragraph" w:styleId="Style31">
    <w:name w:val="Footnote Text"/>
    <w:basedOn w:val="Normal"/>
    <w:link w:val="Style16"/>
    <w:semiHidden/>
    <w:unhideWhenUsed/>
    <w:rsid w:val="00780f6f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4023c"/>
    <w:pPr>
      <w:spacing w:before="0" w:after="0"/>
      <w:ind w:left="720" w:hanging="0"/>
      <w:contextualSpacing/>
    </w:pPr>
    <w:rPr/>
  </w:style>
  <w:style w:type="paragraph" w:styleId="Style32" w:customStyle="1">
    <w:name w:val="Колонтитул"/>
    <w:basedOn w:val="Normal"/>
    <w:qFormat/>
    <w:pPr/>
    <w:rPr/>
  </w:style>
  <w:style w:type="paragraph" w:styleId="Style33">
    <w:name w:val="Header"/>
    <w:basedOn w:val="Normal"/>
    <w:link w:val="Style20"/>
    <w:uiPriority w:val="99"/>
    <w:unhideWhenUsed/>
    <w:rsid w:val="003f21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4">
    <w:name w:val="Footer"/>
    <w:basedOn w:val="Normal"/>
    <w:link w:val="Style21"/>
    <w:unhideWhenUsed/>
    <w:rsid w:val="003f219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22"/>
    <w:semiHidden/>
    <w:unhideWhenUsed/>
    <w:qFormat/>
    <w:rsid w:val="003b1e0e"/>
    <w:pPr/>
    <w:rPr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rsid w:val="00d97cc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59760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"/>
    <w:basedOn w:val="a1"/>
    <w:uiPriority w:val="59"/>
    <w:rsid w:val="00bc1867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960327D-745E-4484-8517-AE037D18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LibreOffice/7.5.2.1$Linux_X86_64 LibreOffice_project/50$Build-1</Application>
  <AppVersion>15.0000</AppVersion>
  <Pages>5</Pages>
  <Words>933</Words>
  <Characters>7297</Characters>
  <CharactersWithSpaces>8344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2025-09-12T07:41:00Z</dcterms:created>
  <dc:creator>user</dc:creator>
  <dc:description/>
  <dc:language>ru-RU</dc:language>
  <cp:lastModifiedBy/>
  <cp:lastPrinted>2025-02-14T09:39:00Z</cp:lastPrinted>
  <dcterms:modified xsi:type="dcterms:W3CDTF">2026-01-16T10:28:11Z</dcterms:modified>
  <cp:revision>40</cp:revision>
  <dc:subject/>
  <dc:title>Приложение №1 к постановлению межведомственной комиссии по делам несовершеннолетних и защите их прав Саратовской области от 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