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/>
        <w:rPr>
          <w:rFonts w:cs="Times New Roman"/>
          <w:bCs/>
          <w:color w:val="000000" w:themeColor="text1"/>
          <w:sz w:val="24"/>
          <w:szCs w:val="24"/>
        </w:rPr>
      </w:pPr>
      <w:r>
        <w:rPr>
          <w:rFonts w:cs="Times New Roman"/>
          <w:bCs/>
          <w:color w:val="000000" w:themeColor="text1"/>
          <w:sz w:val="24"/>
          <w:szCs w:val="24"/>
        </w:rPr>
      </w:r>
    </w:p>
    <w:p>
      <w:pPr>
        <w:pStyle w:val="Normal"/>
        <w:ind w:left="8496" w:hanging="0"/>
        <w:jc w:val="both"/>
        <w:rPr>
          <w:sz w:val="32"/>
        </w:rPr>
      </w:pPr>
      <w:r>
        <w:rPr>
          <w:rFonts w:cs="Times New Roman"/>
          <w:bCs/>
          <w:color w:val="000000" w:themeColor="text1"/>
          <w:szCs w:val="24"/>
        </w:rPr>
        <w:t xml:space="preserve">УТВЕРЖДЕН </w:t>
      </w:r>
    </w:p>
    <w:p>
      <w:pPr>
        <w:pStyle w:val="Normal"/>
        <w:ind w:left="8504" w:right="567" w:hanging="0"/>
        <w:jc w:val="both"/>
        <w:rPr/>
      </w:pPr>
      <w:r>
        <w:rPr>
          <w:rFonts w:cs="Times New Roman"/>
          <w:bCs/>
          <w:color w:val="000000" w:themeColor="text1"/>
          <w:szCs w:val="28"/>
        </w:rPr>
        <w:t>постановлением Республиканской</w:t>
      </w:r>
    </w:p>
    <w:p>
      <w:pPr>
        <w:pStyle w:val="Normal"/>
        <w:ind w:left="8504" w:right="567" w:hanging="0"/>
        <w:jc w:val="both"/>
        <w:rPr>
          <w:rFonts w:cs="Times New Roman"/>
          <w:bCs/>
          <w:color w:val="000000" w:themeColor="text1"/>
          <w:szCs w:val="28"/>
        </w:rPr>
      </w:pPr>
      <w:r>
        <w:rPr>
          <w:rFonts w:cs="Times New Roman"/>
          <w:bCs/>
          <w:color w:val="000000" w:themeColor="text1"/>
          <w:szCs w:val="28"/>
        </w:rPr>
        <w:t>комиссии по делам несовершеннолетних</w:t>
      </w:r>
    </w:p>
    <w:p>
      <w:pPr>
        <w:pStyle w:val="Normal"/>
        <w:ind w:left="8504" w:right="567" w:hanging="0"/>
        <w:jc w:val="both"/>
        <w:rPr/>
      </w:pPr>
      <w:r>
        <w:rPr>
          <w:rFonts w:cs="Times New Roman"/>
          <w:bCs/>
          <w:color w:val="000000" w:themeColor="text1"/>
          <w:szCs w:val="28"/>
        </w:rPr>
        <w:t>и защите их прав в Луганской Народной Республики</w:t>
      </w:r>
    </w:p>
    <w:p>
      <w:pPr>
        <w:pStyle w:val="Normal"/>
        <w:ind w:left="8496" w:hanging="0"/>
        <w:jc w:val="both"/>
        <w:rPr>
          <w:szCs w:val="28"/>
        </w:rPr>
      </w:pPr>
      <w:r>
        <w:rPr>
          <w:rFonts w:cs="Times New Roman"/>
          <w:bCs/>
          <w:color w:val="000000" w:themeColor="text1"/>
          <w:szCs w:val="28"/>
        </w:rPr>
        <w:t>от 12.11.2025 № 109</w:t>
      </w:r>
    </w:p>
    <w:p>
      <w:pPr>
        <w:pStyle w:val="Normal"/>
        <w:jc w:val="both"/>
        <w:rPr>
          <w:rFonts w:cs="Times New Roman"/>
          <w:bCs/>
          <w:color w:val="000000" w:themeColor="text1"/>
          <w:szCs w:val="28"/>
        </w:rPr>
      </w:pPr>
      <w:r>
        <w:rPr>
          <w:rFonts w:cs="Times New Roman"/>
          <w:bCs/>
          <w:color w:val="000000" w:themeColor="text1"/>
          <w:szCs w:val="28"/>
        </w:rPr>
      </w:r>
    </w:p>
    <w:p>
      <w:pPr>
        <w:pStyle w:val="Normal"/>
        <w:jc w:val="center"/>
        <w:rPr>
          <w:rFonts w:cs="Times New Roman"/>
          <w:b/>
          <w:bCs/>
          <w:color w:val="000000" w:themeColor="text1"/>
          <w:sz w:val="24"/>
          <w:szCs w:val="24"/>
        </w:rPr>
      </w:pPr>
      <w:r>
        <w:rPr>
          <w:rFonts w:cs="Times New Roman"/>
          <w:b/>
          <w:bCs/>
          <w:color w:val="000000" w:themeColor="text1"/>
          <w:sz w:val="24"/>
          <w:szCs w:val="24"/>
        </w:rPr>
      </w:r>
    </w:p>
    <w:p>
      <w:pPr>
        <w:pStyle w:val="Normal"/>
        <w:jc w:val="center"/>
        <w:rPr/>
      </w:pPr>
      <w:r>
        <w:rPr>
          <w:rFonts w:cs="Times New Roman"/>
          <w:color w:val="000000" w:themeColor="text1"/>
          <w:szCs w:val="28"/>
        </w:rPr>
        <w:t xml:space="preserve">Межведомственный комплексный план </w:t>
      </w:r>
    </w:p>
    <w:p>
      <w:pPr>
        <w:pStyle w:val="Normal"/>
        <w:jc w:val="center"/>
        <w:rPr/>
      </w:pPr>
      <w:r>
        <w:rPr>
          <w:rFonts w:cs="Times New Roman"/>
          <w:color w:val="000000" w:themeColor="text1"/>
          <w:szCs w:val="28"/>
        </w:rPr>
        <w:t xml:space="preserve">мероприятий по профилактике </w:t>
      </w:r>
      <w:r>
        <w:rPr>
          <w:rFonts w:cs="Times New Roman"/>
          <w:color w:val="000000" w:themeColor="text1"/>
          <w:szCs w:val="28"/>
          <w:lang w:eastAsia="en-US"/>
        </w:rPr>
        <w:t>алкоголизма, наркомании и токсикомании</w:t>
      </w:r>
      <w:r>
        <w:rPr>
          <w:rFonts w:cs="Times New Roman"/>
          <w:color w:val="000000" w:themeColor="text1"/>
          <w:szCs w:val="28"/>
        </w:rPr>
        <w:t xml:space="preserve"> несовершеннолетних</w:t>
        <w:br/>
        <w:t xml:space="preserve">на территории Луганской Народной Республики </w:t>
      </w:r>
    </w:p>
    <w:p>
      <w:pPr>
        <w:pStyle w:val="Normal"/>
        <w:jc w:val="center"/>
        <w:rPr/>
      </w:pPr>
      <w:r>
        <w:rPr>
          <w:rFonts w:cs="Times New Roman"/>
          <w:color w:val="000000" w:themeColor="text1"/>
          <w:szCs w:val="28"/>
        </w:rPr>
        <w:t>на 2026</w:t>
      </w:r>
      <w:r>
        <w:rPr>
          <w:rFonts w:cs="Times New Roman"/>
          <w:bCs/>
          <w:color w:val="000000" w:themeColor="text1"/>
          <w:szCs w:val="28"/>
        </w:rPr>
        <w:t>–</w:t>
      </w:r>
      <w:r>
        <w:rPr>
          <w:rFonts w:cs="Times New Roman"/>
          <w:color w:val="000000" w:themeColor="text1"/>
          <w:szCs w:val="28"/>
        </w:rPr>
        <w:t>2027 годы</w:t>
      </w:r>
    </w:p>
    <w:p>
      <w:pPr>
        <w:pStyle w:val="Normal"/>
        <w:jc w:val="center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</w:r>
    </w:p>
    <w:tbl>
      <w:tblPr>
        <w:tblpPr w:bottomFromText="0" w:horzAnchor="text" w:leftFromText="180" w:rightFromText="180" w:tblpX="0" w:tblpY="1" w:topFromText="0" w:vertAnchor="text"/>
        <w:tblW w:w="1414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01"/>
        <w:gridCol w:w="24"/>
        <w:gridCol w:w="7630"/>
        <w:gridCol w:w="1670"/>
        <w:gridCol w:w="3716"/>
      </w:tblGrid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tabs>
                <w:tab w:val="left" w:pos="708" w:leader="none"/>
                <w:tab w:val="center" w:pos="4677" w:leader="none"/>
                <w:tab w:val="right" w:pos="9355" w:leader="none"/>
              </w:tabs>
              <w:jc w:val="center"/>
              <w:rPr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Cs w:val="28"/>
                <w:lang w:eastAsia="en-US"/>
              </w:rPr>
              <w:t xml:space="preserve">№ </w:t>
            </w:r>
            <w:r>
              <w:rPr>
                <w:rFonts w:cs="Times New Roman"/>
                <w:bCs/>
                <w:color w:val="000000" w:themeColor="text1"/>
                <w:szCs w:val="28"/>
                <w:lang w:eastAsia="en-US"/>
              </w:rPr>
              <w:t>п/п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Cs w:val="28"/>
                <w:lang w:eastAsia="en-US"/>
              </w:rPr>
              <w:t>Мероприятие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Cs w:val="28"/>
                <w:lang w:eastAsia="en-US"/>
              </w:rPr>
              <w:t>Срок</w:t>
            </w:r>
          </w:p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Cs w:val="28"/>
                <w:lang w:eastAsia="en-US"/>
              </w:rPr>
              <w:t>исполнения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Cs w:val="28"/>
                <w:lang w:eastAsia="en-US"/>
              </w:rPr>
              <w:t>Ответственные исполнители</w:t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tabs>
                <w:tab w:val="left" w:pos="708" w:leader="none"/>
                <w:tab w:val="center" w:pos="4677" w:leader="none"/>
                <w:tab w:val="right" w:pos="9355" w:leader="none"/>
              </w:tabs>
              <w:jc w:val="center"/>
              <w:rPr>
                <w:rFonts w:cs="Times New Roman"/>
                <w:bCs/>
                <w:color w:val="000000" w:themeColor="text1"/>
                <w:szCs w:val="28"/>
                <w:lang w:eastAsia="en-US"/>
              </w:rPr>
            </w:pPr>
            <w:r>
              <w:rPr>
                <w:rFonts w:cs="Times New Roman"/>
                <w:bCs/>
                <w:color w:val="000000" w:themeColor="text1"/>
                <w:szCs w:val="28"/>
                <w:lang w:eastAsia="en-US"/>
              </w:rPr>
              <w:t>1.</w:t>
            </w:r>
          </w:p>
          <w:p>
            <w:pPr>
              <w:pStyle w:val="Style23"/>
              <w:widowControl w:val="false"/>
              <w:tabs>
                <w:tab w:val="left" w:pos="708" w:leader="none"/>
                <w:tab w:val="center" w:pos="4677" w:leader="none"/>
                <w:tab w:val="right" w:pos="9355" w:leader="none"/>
              </w:tabs>
              <w:jc w:val="center"/>
              <w:rPr>
                <w:rFonts w:cs="Times New Roman"/>
                <w:bCs/>
                <w:color w:val="000000" w:themeColor="text1"/>
                <w:szCs w:val="28"/>
                <w:lang w:eastAsia="en-US"/>
              </w:rPr>
            </w:pPr>
            <w:r>
              <w:rPr>
                <w:rFonts w:cs="Times New Roman"/>
                <w:bCs/>
                <w:color w:val="000000" w:themeColor="text1"/>
                <w:szCs w:val="28"/>
                <w:lang w:eastAsia="en-US"/>
              </w:rPr>
            </w:r>
          </w:p>
          <w:p>
            <w:pPr>
              <w:pStyle w:val="Style23"/>
              <w:widowControl w:val="false"/>
              <w:tabs>
                <w:tab w:val="left" w:pos="708" w:leader="none"/>
                <w:tab w:val="center" w:pos="4677" w:leader="none"/>
                <w:tab w:val="right" w:pos="9355" w:leader="none"/>
              </w:tabs>
              <w:jc w:val="center"/>
              <w:rPr>
                <w:rFonts w:cs="Times New Roman"/>
                <w:bCs/>
                <w:color w:val="000000" w:themeColor="text1"/>
                <w:szCs w:val="28"/>
                <w:lang w:eastAsia="en-US"/>
              </w:rPr>
            </w:pPr>
            <w:r>
              <w:rPr>
                <w:rFonts w:cs="Times New Roman"/>
                <w:bCs/>
                <w:color w:val="000000" w:themeColor="text1"/>
                <w:szCs w:val="28"/>
                <w:lang w:eastAsia="en-US"/>
              </w:rPr>
            </w:r>
          </w:p>
          <w:p>
            <w:pPr>
              <w:pStyle w:val="Style23"/>
              <w:widowControl w:val="false"/>
              <w:tabs>
                <w:tab w:val="left" w:pos="708" w:leader="none"/>
                <w:tab w:val="center" w:pos="4677" w:leader="none"/>
                <w:tab w:val="right" w:pos="9355" w:leader="none"/>
              </w:tabs>
              <w:jc w:val="center"/>
              <w:rPr>
                <w:rFonts w:cs="Times New Roman"/>
                <w:bCs/>
                <w:color w:val="000000" w:themeColor="text1"/>
                <w:szCs w:val="28"/>
                <w:lang w:eastAsia="en-US"/>
              </w:rPr>
            </w:pPr>
            <w:r>
              <w:rPr>
                <w:rFonts w:cs="Times New Roman"/>
                <w:bCs/>
                <w:color w:val="000000" w:themeColor="text1"/>
                <w:szCs w:val="28"/>
                <w:lang w:eastAsia="en-US"/>
              </w:rPr>
            </w:r>
          </w:p>
          <w:p>
            <w:pPr>
              <w:pStyle w:val="Style23"/>
              <w:widowControl w:val="false"/>
              <w:tabs>
                <w:tab w:val="left" w:pos="708" w:leader="none"/>
                <w:tab w:val="center" w:pos="4677" w:leader="none"/>
                <w:tab w:val="right" w:pos="9355" w:leader="none"/>
              </w:tabs>
              <w:jc w:val="center"/>
              <w:rPr>
                <w:rFonts w:cs="Times New Roman"/>
                <w:bCs/>
                <w:color w:val="000000" w:themeColor="text1"/>
                <w:szCs w:val="28"/>
                <w:lang w:eastAsia="en-US"/>
              </w:rPr>
            </w:pPr>
            <w:r>
              <w:rPr>
                <w:rFonts w:cs="Times New Roman"/>
                <w:bCs/>
                <w:color w:val="000000" w:themeColor="text1"/>
                <w:szCs w:val="28"/>
                <w:lang w:eastAsia="en-US"/>
              </w:rPr>
            </w:r>
          </w:p>
          <w:p>
            <w:pPr>
              <w:pStyle w:val="Style23"/>
              <w:widowControl w:val="false"/>
              <w:tabs>
                <w:tab w:val="left" w:pos="708" w:leader="none"/>
                <w:tab w:val="center" w:pos="4677" w:leader="none"/>
                <w:tab w:val="right" w:pos="9355" w:leader="none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проведения занятий с врачами, участвующими в профилактических осмотрах, медицинскими сестрами школ по вопросам выявления алкогольной и наркотической зависимости среди подростков образовательных организаций</w:t>
            </w:r>
          </w:p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Cs/>
                <w:color w:val="000000" w:themeColor="text1"/>
                <w:szCs w:val="28"/>
                <w:lang w:eastAsia="en-US"/>
              </w:rPr>
            </w:pPr>
            <w:r>
              <w:rPr>
                <w:rFonts w:cs="Times New Roman"/>
                <w:bCs/>
                <w:color w:val="000000" w:themeColor="text1"/>
                <w:szCs w:val="28"/>
                <w:lang w:eastAsia="en-US"/>
              </w:rPr>
              <w:t>На протяжении учебного года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bCs/>
                <w:color w:val="000000" w:themeColor="text1"/>
                <w:szCs w:val="28"/>
                <w:lang w:eastAsia="en-US"/>
              </w:rPr>
            </w:pPr>
            <w:r>
              <w:rPr>
                <w:rFonts w:cs="Times New Roman"/>
                <w:bCs/>
                <w:color w:val="000000" w:themeColor="text1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Times New Roman"/>
                <w:color w:val="000000" w:themeColor="text1"/>
                <w:szCs w:val="28"/>
                <w:lang w:eastAsia="en-US"/>
              </w:rPr>
            </w:pPr>
            <w:r>
              <w:rPr>
                <w:rFonts w:cs="Times New Roman"/>
                <w:color w:val="000000" w:themeColor="text1"/>
                <w:szCs w:val="28"/>
                <w:lang w:eastAsia="en-US"/>
              </w:rPr>
              <w:t>Министерство здравоохранения Луганской Народной Республики, Министерство образования и науки Луганской Народной Республики</w:t>
            </w:r>
          </w:p>
        </w:tc>
      </w:tr>
      <w:tr>
        <w:trPr>
          <w:cantSplit w:val="true"/>
        </w:trPr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  <w:lang w:eastAsia="en-US"/>
              </w:rPr>
              <w:t>2.</w:t>
            </w:r>
          </w:p>
        </w:tc>
        <w:tc>
          <w:tcPr>
            <w:tcW w:w="7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Организация профилактических лекций и бесед (дискуссий) в образовательных организациях и учреждениях культуры Луганской Народной Республики по антинаркотической направленности, антиалкогольной тематике, по профилактике токсикомании, употребления никотиносодержащей продукции с демонстрацией наглядных материалов при участии врачей </w:t>
            </w:r>
            <w:r>
              <w:rPr>
                <w:bCs/>
                <w:szCs w:val="28"/>
              </w:rPr>
              <w:t xml:space="preserve">– </w:t>
            </w:r>
            <w:r>
              <w:rPr>
                <w:szCs w:val="28"/>
              </w:rPr>
              <w:t>наркологов Министерства здравоохранения Луганской Народной Республики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  <w:lang w:eastAsia="en-US"/>
              </w:rPr>
              <w:t>По согласованию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Times New Roman"/>
                <w:color w:val="000000" w:themeColor="text1"/>
                <w:szCs w:val="28"/>
                <w:lang w:eastAsia="en-US"/>
              </w:rPr>
            </w:pPr>
            <w:r>
              <w:rPr>
                <w:rFonts w:cs="Times New Roman"/>
                <w:color w:val="000000" w:themeColor="text1"/>
                <w:szCs w:val="28"/>
                <w:lang w:eastAsia="en-US"/>
              </w:rPr>
              <w:t>Министерство образования и науки Луганской Народной Республики, Министерство культуры Луганской Народной Республики,</w:t>
            </w:r>
          </w:p>
          <w:p>
            <w:pPr>
              <w:pStyle w:val="Normal"/>
              <w:widowControl w:val="false"/>
              <w:jc w:val="both"/>
              <w:rPr>
                <w:rFonts w:cs="Times New Roman"/>
                <w:color w:val="000000" w:themeColor="text1"/>
                <w:szCs w:val="28"/>
                <w:lang w:eastAsia="en-US"/>
              </w:rPr>
            </w:pPr>
            <w:r>
              <w:rPr>
                <w:rFonts w:cs="Times New Roman"/>
                <w:color w:val="000000" w:themeColor="text1"/>
                <w:szCs w:val="28"/>
                <w:lang w:eastAsia="en-US"/>
              </w:rPr>
              <w:t>Министерство здравоохранения Луганской Народной Республики</w:t>
            </w:r>
          </w:p>
          <w:p>
            <w:pPr>
              <w:pStyle w:val="Normal"/>
              <w:widowControl w:val="false"/>
              <w:jc w:val="both"/>
              <w:rPr>
                <w:rFonts w:cs="Times New Roman"/>
                <w:color w:val="000000" w:themeColor="text1"/>
                <w:szCs w:val="28"/>
                <w:lang w:eastAsia="en-US"/>
              </w:rPr>
            </w:pPr>
            <w:r>
              <w:rPr>
                <w:rFonts w:cs="Times New Roman"/>
                <w:color w:val="000000" w:themeColor="text1"/>
                <w:szCs w:val="28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  <w:lang w:eastAsia="en-US"/>
              </w:rPr>
              <w:t>3.</w:t>
            </w:r>
          </w:p>
        </w:tc>
        <w:tc>
          <w:tcPr>
            <w:tcW w:w="7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Courier New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Courier New"/>
                <w:color w:val="auto"/>
                <w:kern w:val="0"/>
                <w:sz w:val="28"/>
                <w:szCs w:val="28"/>
                <w:lang w:val="ru-RU" w:eastAsia="ru-RU" w:bidi="ar-SA"/>
              </w:rPr>
              <w:t>Организация и проведение физкультурно-массовых мероприятий, направленных на профилактику наркомании</w:t>
              <w:br/>
              <w:t>и пропаганду здорового образа жизни, проводимых</w:t>
              <w:br/>
              <w:t>под лозунгом «Спорт – против наркотиков!»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  <w:lang w:eastAsia="en-US"/>
              </w:rPr>
              <w:t>Октябрь, апрель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  <w:lang w:eastAsia="en-US"/>
              </w:rPr>
              <w:t>Министерство образования и науки  Луганской Народной Республики, учителя физической культуры учебных учреждений Луганской Народной Республики</w:t>
            </w:r>
          </w:p>
        </w:tc>
      </w:tr>
      <w:tr>
        <w:trPr/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  <w:lang w:eastAsia="en-US"/>
              </w:rPr>
              <w:t>4.</w:t>
            </w:r>
          </w:p>
        </w:tc>
        <w:tc>
          <w:tcPr>
            <w:tcW w:w="7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целенаправленной разъяснительной работы</w:t>
              <w:br/>
              <w:t>в образовательных учреждениях об уголовной, административной ответственности несовершеннолетних; информирование обучающихся о действующих службах психологической помощи, те</w:t>
            </w:r>
            <w:r>
              <w:rPr>
                <w:color w:val="212529"/>
                <w:szCs w:val="28"/>
              </w:rPr>
              <w:t>лефонной линии «Ребенок в опасности»</w:t>
            </w:r>
            <w:r>
              <w:rPr>
                <w:b/>
                <w:bCs/>
                <w:color w:val="212529"/>
                <w:szCs w:val="28"/>
              </w:rPr>
              <w:t xml:space="preserve"> </w:t>
            </w:r>
            <w:r>
              <w:rPr>
                <w:color w:val="212529"/>
                <w:szCs w:val="28"/>
              </w:rPr>
              <w:t>Следственного комитета РФ по Луганской Народной Республике 8(857)252-50-97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  <w:lang w:eastAsia="en-US"/>
              </w:rPr>
              <w:t>По согласованию в течение учебного года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  <w:lang w:eastAsia="en-US"/>
              </w:rPr>
              <w:t>Министерство внутренних дел по Луганской Народной Республике, Министерство образования и науки Луганской Народной Республики</w:t>
            </w:r>
          </w:p>
          <w:p>
            <w:pPr>
              <w:pStyle w:val="Normal"/>
              <w:widowControl w:val="false"/>
              <w:jc w:val="both"/>
              <w:rPr>
                <w:rFonts w:cs="Times New Roman"/>
                <w:color w:val="000000" w:themeColor="text1"/>
                <w:szCs w:val="28"/>
                <w:lang w:eastAsia="en-US"/>
              </w:rPr>
            </w:pPr>
            <w:r>
              <w:rPr>
                <w:rFonts w:cs="Times New Roman"/>
                <w:color w:val="000000" w:themeColor="text1"/>
                <w:szCs w:val="28"/>
                <w:lang w:eastAsia="en-US"/>
              </w:rPr>
            </w:r>
          </w:p>
        </w:tc>
      </w:tr>
      <w:tr>
        <w:trPr/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  <w:lang w:eastAsia="en-US"/>
              </w:rPr>
              <w:t>5.</w:t>
            </w:r>
          </w:p>
        </w:tc>
        <w:tc>
          <w:tcPr>
            <w:tcW w:w="7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  <w:lang w:eastAsia="en-US"/>
              </w:rPr>
              <w:t>Организация проведения социально-психологического тестирования лиц, обучающихся в образовательных организациях Луганской Народной Республики, направленного на раннее выявление немедицинского потребления наркотических средств и психотропных веществ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  <w:lang w:eastAsia="en-US"/>
              </w:rPr>
              <w:t>Ежегодно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Times New Roman"/>
                <w:color w:val="000000" w:themeColor="text1"/>
                <w:szCs w:val="28"/>
                <w:lang w:eastAsia="en-US"/>
              </w:rPr>
            </w:pPr>
            <w:r>
              <w:rPr>
                <w:rFonts w:cs="Times New Roman"/>
                <w:color w:val="000000" w:themeColor="text1"/>
                <w:szCs w:val="28"/>
                <w:lang w:eastAsia="en-US"/>
              </w:rPr>
              <w:t>Министерство образования и науки Луганской Народной Республики, Министерство здравоохранения Луганской Народной Республики</w:t>
            </w:r>
          </w:p>
        </w:tc>
      </w:tr>
      <w:tr>
        <w:trPr/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  <w:lang w:eastAsia="en-US"/>
              </w:rPr>
              <w:t>6.</w:t>
            </w:r>
          </w:p>
        </w:tc>
        <w:tc>
          <w:tcPr>
            <w:tcW w:w="7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  <w:lang w:eastAsia="en-US"/>
              </w:rPr>
              <w:t>Посещение учебных учреждений тренерами спортивных школ, секций и т.д. с целью привлечения подростков к спорту, поиска интересов, хобби, образовательных и карьерных ориентиров как способ снижения вовлеченности подростков к алкоголизму и наркомании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  <w:lang w:eastAsia="en-US"/>
              </w:rPr>
              <w:t>Май, сентябрь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  <w:lang w:eastAsia="en-US"/>
              </w:rPr>
              <w:t>Министерство образования и науки Луганской Народной Республики, Министерство спорта Луганской Народной Республики</w:t>
            </w:r>
          </w:p>
        </w:tc>
      </w:tr>
      <w:tr>
        <w:trPr/>
        <w:tc>
          <w:tcPr>
            <w:tcW w:w="11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  <w:lang w:eastAsia="en-US"/>
              </w:rPr>
            </w:pPr>
            <w:r>
              <w:rPr>
                <w:rFonts w:cs="Times New Roman"/>
                <w:color w:val="000000" w:themeColor="text1"/>
                <w:szCs w:val="24"/>
                <w:lang w:eastAsia="en-US"/>
              </w:rPr>
              <w:t>7.</w:t>
            </w:r>
          </w:p>
        </w:tc>
        <w:tc>
          <w:tcPr>
            <w:tcW w:w="7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Вовлечение несовершеннолетних, находящихся в социально опасном положении в волонтерские движения, трудовые отряды, а также к активному участию в мероприятиях направленных на пропаганду здорового образа жизни</w:t>
            </w: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Постоянно</w:t>
            </w:r>
          </w:p>
        </w:tc>
        <w:tc>
          <w:tcPr>
            <w:tcW w:w="3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Министерство молодежной политики Луганской Народной Республики</w:t>
            </w:r>
          </w:p>
        </w:tc>
      </w:tr>
      <w:tr>
        <w:trPr/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  <w:lang w:eastAsia="en-US"/>
              </w:rPr>
            </w:pPr>
            <w:r>
              <w:rPr>
                <w:rFonts w:cs="Times New Roman"/>
                <w:color w:val="000000" w:themeColor="text1"/>
                <w:szCs w:val="24"/>
                <w:lang w:eastAsia="en-US"/>
              </w:rPr>
              <w:t>8.</w:t>
            </w:r>
          </w:p>
        </w:tc>
        <w:tc>
          <w:tcPr>
            <w:tcW w:w="7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  <w:lang w:eastAsia="en-US"/>
              </w:rPr>
              <w:t>Проведение профилактических бесед, лекций по поводу употребления, распространения наркотических средств и ответственности, которая предусмотрена законодательством Российской Федерации за данные деяния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  <w:lang w:eastAsia="en-US"/>
              </w:rPr>
              <w:t>Весь период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Cs w:val="28"/>
              </w:rPr>
            </w:pPr>
            <w:bookmarkStart w:id="0" w:name="_GoBack"/>
            <w:r>
              <w:rPr>
                <w:rFonts w:cs="Times New Roman"/>
                <w:color w:val="000000" w:themeColor="text1"/>
                <w:szCs w:val="28"/>
                <w:lang w:eastAsia="en-US"/>
              </w:rPr>
              <w:t>Инспектора по делам несовершеннолетних Министерства внутренних дел России по Луганской Народной Республике, Министерство образования и науки Луганской Народной Республики</w:t>
            </w:r>
            <w:bookmarkEnd w:id="0"/>
          </w:p>
        </w:tc>
      </w:tr>
      <w:tr>
        <w:trPr/>
        <w:tc>
          <w:tcPr>
            <w:tcW w:w="11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  <w:lang w:eastAsia="en-US"/>
              </w:rPr>
            </w:pPr>
            <w:r>
              <w:rPr>
                <w:rFonts w:cs="Times New Roman"/>
                <w:color w:val="000000" w:themeColor="text1"/>
                <w:szCs w:val="24"/>
                <w:lang w:eastAsia="en-US"/>
              </w:rPr>
              <w:t>9.</w:t>
            </w:r>
          </w:p>
        </w:tc>
        <w:tc>
          <w:tcPr>
            <w:tcW w:w="7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Информирование о фактах выявления детей, склонных к потреблению алкогольной и спиртосодержащей продукции, немедицинского потребления наркотических средств, психотропных и одурманивающих веществ; о фактах доставления детей в учреждения здравоохранения с признаками алкогольного и наркотического опьянения, в том числе о случаях отказа законных представителей несовершеннолетних от прохождения их детьми химико-токсикологического исследования для организации профилактической работы в пределах компетенции.</w:t>
            </w: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Постоянно</w:t>
            </w:r>
          </w:p>
        </w:tc>
        <w:tc>
          <w:tcPr>
            <w:tcW w:w="3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Министерство здравоохранения Луганской Народной Республики, Министерство образования и науки Луганской Народной Республики, Министерство внутренних дел по Луганской Народной Республике</w:t>
            </w:r>
          </w:p>
        </w:tc>
      </w:tr>
    </w:tbl>
    <w:p>
      <w:pPr>
        <w:pStyle w:val="Normal"/>
        <w:rPr>
          <w:rFonts w:cs="Times New Roman"/>
          <w:b/>
          <w:sz w:val="24"/>
          <w:szCs w:val="24"/>
        </w:rPr>
      </w:pPr>
      <w:r>
        <w:rPr/>
      </w:r>
    </w:p>
    <w:sectPr>
      <w:type w:val="nextPage"/>
      <w:pgSz w:orient="landscape" w:w="16838" w:h="11906"/>
      <w:pgMar w:left="1559" w:right="1106" w:gutter="0" w:header="0" w:top="851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53d3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Courier New"/>
      <w:color w:val="auto"/>
      <w:kern w:val="0"/>
      <w:sz w:val="28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887c44"/>
    <w:rPr>
      <w:rFonts w:ascii="Times New Roman" w:hAnsi="Times New Roman" w:eastAsia="Times New Roman" w:cs="Courier New"/>
      <w:sz w:val="28"/>
      <w:szCs w:val="20"/>
      <w:lang w:eastAsia="ru-RU"/>
    </w:rPr>
  </w:style>
  <w:style w:type="character" w:styleId="C0" w:customStyle="1">
    <w:name w:val="c0"/>
    <w:basedOn w:val="DefaultParagraphFont"/>
    <w:qFormat/>
    <w:rsid w:val="00887c44"/>
    <w:rPr/>
  </w:style>
  <w:style w:type="character" w:styleId="FontStyle16" w:customStyle="1">
    <w:name w:val="Font Style16"/>
    <w:basedOn w:val="DefaultParagraphFont"/>
    <w:uiPriority w:val="99"/>
    <w:qFormat/>
    <w:rsid w:val="00887c44"/>
    <w:rPr>
      <w:rFonts w:ascii="Times New Roman" w:hAnsi="Times New Roman" w:cs="Times New Roman"/>
      <w:color w:val="000000"/>
      <w:sz w:val="18"/>
      <w:szCs w:val="18"/>
    </w:rPr>
  </w:style>
  <w:style w:type="character" w:styleId="FontStyle26" w:customStyle="1">
    <w:name w:val="Font Style26"/>
    <w:basedOn w:val="DefaultParagraphFont"/>
    <w:uiPriority w:val="99"/>
    <w:qFormat/>
    <w:rsid w:val="00ab39f4"/>
    <w:rPr>
      <w:rFonts w:ascii="Times New Roman" w:hAnsi="Times New Roman" w:cs="Times New Roman"/>
      <w:color w:val="000000"/>
      <w:sz w:val="22"/>
      <w:szCs w:val="22"/>
    </w:rPr>
  </w:style>
  <w:style w:type="character" w:styleId="FontStyle13" w:customStyle="1">
    <w:name w:val="Font Style13"/>
    <w:basedOn w:val="DefaultParagraphFont"/>
    <w:uiPriority w:val="99"/>
    <w:qFormat/>
    <w:rsid w:val="00e00f85"/>
    <w:rPr>
      <w:rFonts w:ascii="Times New Roman" w:hAnsi="Times New Roman" w:cs="Times New Roman"/>
      <w:sz w:val="26"/>
      <w:szCs w:val="26"/>
    </w:rPr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f042e3"/>
    <w:rPr>
      <w:rFonts w:ascii="Times New Roman" w:hAnsi="Times New Roman" w:eastAsia="Times New Roman" w:cs="Courier New"/>
      <w:sz w:val="28"/>
      <w:szCs w:val="20"/>
      <w:lang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1">
    <w:name w:val="Title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2" w:customStyle="1">
    <w:name w:val="Колонтитул"/>
    <w:basedOn w:val="Normal"/>
    <w:qFormat/>
    <w:pPr/>
    <w:rPr/>
  </w:style>
  <w:style w:type="paragraph" w:styleId="Style23">
    <w:name w:val="Header"/>
    <w:basedOn w:val="Normal"/>
    <w:link w:val="Style14"/>
    <w:uiPriority w:val="99"/>
    <w:unhideWhenUsed/>
    <w:rsid w:val="00887c4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887c4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en-US" w:bidi="ar-SA"/>
    </w:rPr>
  </w:style>
  <w:style w:type="paragraph" w:styleId="Style61" w:customStyle="1">
    <w:name w:val="Style6"/>
    <w:basedOn w:val="Normal"/>
    <w:uiPriority w:val="99"/>
    <w:qFormat/>
    <w:rsid w:val="00887c44"/>
    <w:pPr>
      <w:widowControl w:val="false"/>
      <w:spacing w:lineRule="exact" w:line="228"/>
      <w:ind w:firstLine="617"/>
      <w:jc w:val="both"/>
    </w:pPr>
    <w:rPr>
      <w:rFonts w:cs="Times New Roman"/>
      <w:sz w:val="24"/>
      <w:szCs w:val="24"/>
    </w:rPr>
  </w:style>
  <w:style w:type="paragraph" w:styleId="Style24">
    <w:name w:val="Footer"/>
    <w:basedOn w:val="Normal"/>
    <w:link w:val="Style15"/>
    <w:uiPriority w:val="99"/>
    <w:semiHidden/>
    <w:unhideWhenUsed/>
    <w:rsid w:val="00f042e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6" w:customStyle="1">
    <w:name w:val="Заголовок таблицы"/>
    <w:basedOn w:val="Style2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rsid w:val="00887c44"/>
    <w:rPr>
      <w:lang w:eastAsia="ru-RU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C836E-B7C4-4A26-88AF-9990ED3E5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Application>LibreOffice/7.5.2.1$Linux_X86_64 LibreOffice_project/50$Build-1</Application>
  <AppVersion>15.0000</AppVersion>
  <Pages>3</Pages>
  <Words>470</Words>
  <Characters>3877</Characters>
  <CharactersWithSpaces>4302</CharactersWithSpaces>
  <Paragraphs>50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2021-01-12T12:08:00Z</dcterms:created>
  <dc:creator>User</dc:creator>
  <dc:description/>
  <dc:language>ru-RU</dc:language>
  <cp:lastModifiedBy/>
  <cp:lastPrinted>2021-03-24T10:36:00Z</cp:lastPrinted>
  <dcterms:modified xsi:type="dcterms:W3CDTF">2025-11-17T17:13:31Z</dcterms:modified>
  <cp:revision>89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