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7A" w:rsidRPr="00DA5C7A" w:rsidRDefault="00DA5C7A" w:rsidP="00DA5C7A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УТВЕРЖДЕН</w:t>
      </w:r>
    </w:p>
    <w:p w:rsidR="00DA5C7A" w:rsidRPr="00DA5C7A" w:rsidRDefault="00DA5C7A" w:rsidP="00DA5C7A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 Правительства Луганской Народной Республики</w:t>
      </w:r>
    </w:p>
    <w:p w:rsidR="00DA5C7A" w:rsidRPr="00DA5C7A" w:rsidRDefault="00DA5C7A" w:rsidP="00DA5C7A">
      <w:pPr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июня 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2021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года № </w:t>
      </w:r>
      <w:r w:rsidR="00891E3A">
        <w:rPr>
          <w:rFonts w:ascii="Times New Roman" w:eastAsia="Calibri" w:hAnsi="Times New Roman" w:cs="Times New Roman"/>
          <w:sz w:val="28"/>
          <w:szCs w:val="28"/>
          <w:lang w:eastAsia="ru-RU"/>
        </w:rPr>
        <w:t>516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t>/21</w:t>
      </w:r>
    </w:p>
    <w:p w:rsidR="00DA5C7A" w:rsidRPr="00DA5C7A" w:rsidRDefault="00DA5C7A" w:rsidP="00DA5C7A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A5C7A" w:rsidRPr="00DA5C7A" w:rsidRDefault="00DA5C7A" w:rsidP="00DA5C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Государственный стандарт</w:t>
      </w:r>
    </w:p>
    <w:p w:rsidR="00DA5C7A" w:rsidRPr="00DA5C7A" w:rsidRDefault="00DA5C7A" w:rsidP="00DA5C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  <w:r w:rsidRPr="00DA5C7A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внутреннего государственного (муниципального) финансового контроля «Реализация результатов проверок, ревизий и обследований</w:t>
      </w:r>
      <w:r w:rsidRPr="00DA5C7A">
        <w:rPr>
          <w:rFonts w:ascii="Times New Roman" w:eastAsia="Calibri" w:hAnsi="Times New Roman" w:cs="Times New Roman"/>
          <w:b/>
          <w:sz w:val="28"/>
          <w:szCs w:val="24"/>
          <w:lang w:eastAsia="ru-RU"/>
        </w:rPr>
        <w:t>»</w:t>
      </w:r>
    </w:p>
    <w:p w:rsidR="00DA5C7A" w:rsidRPr="00DA5C7A" w:rsidRDefault="00DA5C7A" w:rsidP="00DA5C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ru-RU"/>
        </w:rPr>
      </w:pPr>
    </w:p>
    <w:p w:rsidR="00DA5C7A" w:rsidRPr="00DA5C7A" w:rsidRDefault="00DA5C7A" w:rsidP="00DA5C7A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C7A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положения</w:t>
      </w:r>
    </w:p>
    <w:p w:rsidR="00DA5C7A" w:rsidRPr="00DA5C7A" w:rsidRDefault="00DA5C7A" w:rsidP="00DA5C7A">
      <w:pPr>
        <w:widowControl w:val="0"/>
        <w:autoSpaceDE w:val="0"/>
        <w:autoSpaceDN w:val="0"/>
        <w:adjustRightInd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C7A" w:rsidRPr="00DA5C7A" w:rsidRDefault="00DA5C7A" w:rsidP="00DA5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sub_1001"/>
      <w:r w:rsidRPr="00DA5C7A">
        <w:rPr>
          <w:rFonts w:ascii="Times New Roman" w:eastAsia="Calibri" w:hAnsi="Times New Roman" w:cs="Times New Roman"/>
          <w:sz w:val="28"/>
          <w:szCs w:val="28"/>
        </w:rPr>
        <w:t>1.1. Государственный стандарт внутреннего государственного (муниципального) финансового контроля «Реализация результатов проверок, ревизий и обследований» (далее – стандарт) разработан в целях установления:</w:t>
      </w:r>
    </w:p>
    <w:bookmarkEnd w:id="1"/>
    <w:p w:rsidR="00DA5C7A" w:rsidRPr="00DA5C7A" w:rsidRDefault="00DA5C7A" w:rsidP="00DA5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C7A">
        <w:rPr>
          <w:rFonts w:ascii="Times New Roman" w:eastAsia="Calibri" w:hAnsi="Times New Roman" w:cs="Times New Roman"/>
          <w:sz w:val="28"/>
          <w:szCs w:val="28"/>
        </w:rPr>
        <w:t xml:space="preserve">правил реализации результатов проведения проверок, ревизий </w:t>
      </w:r>
      <w:r w:rsidRPr="00DA5C7A">
        <w:rPr>
          <w:rFonts w:ascii="Times New Roman" w:eastAsia="Calibri" w:hAnsi="Times New Roman" w:cs="Times New Roman"/>
          <w:sz w:val="28"/>
          <w:szCs w:val="28"/>
        </w:rPr>
        <w:br/>
        <w:t>и обследований (далее – контрольное мероприятие), в том числе предусматривающих требования к содержанию представления, предписания, уведомления о применении бюджетных мер принуждения органа внутреннего государственного (муниципального) финансового контроля (далее – орган контроля);</w:t>
      </w:r>
    </w:p>
    <w:p w:rsidR="00DA5C7A" w:rsidRPr="00DA5C7A" w:rsidRDefault="00DA5C7A" w:rsidP="00DA5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C7A">
        <w:rPr>
          <w:rFonts w:ascii="Times New Roman" w:eastAsia="Calibri" w:hAnsi="Times New Roman" w:cs="Times New Roman"/>
          <w:sz w:val="28"/>
          <w:szCs w:val="28"/>
        </w:rPr>
        <w:t>порядка продления срока исполнения представления (предписания) органа контроля.</w:t>
      </w:r>
    </w:p>
    <w:p w:rsidR="00DA5C7A" w:rsidRPr="00DA5C7A" w:rsidRDefault="00DA5C7A" w:rsidP="00DA5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5C7A" w:rsidRPr="00DA5C7A" w:rsidRDefault="00DA5C7A" w:rsidP="00DA5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sub_1002"/>
      <w:r w:rsidRPr="00DA5C7A">
        <w:rPr>
          <w:rFonts w:ascii="Times New Roman" w:eastAsia="Calibri" w:hAnsi="Times New Roman" w:cs="Times New Roman"/>
          <w:sz w:val="28"/>
          <w:szCs w:val="28"/>
        </w:rPr>
        <w:t>1.2. </w:t>
      </w:r>
      <w:proofErr w:type="gramStart"/>
      <w:r w:rsidRPr="00DA5C7A">
        <w:rPr>
          <w:rFonts w:ascii="Times New Roman" w:eastAsia="Calibri" w:hAnsi="Times New Roman" w:cs="Times New Roman"/>
          <w:sz w:val="28"/>
          <w:szCs w:val="28"/>
        </w:rPr>
        <w:t xml:space="preserve">Документы, оформляемые в целях реализации результатов контрольного мероприятия, предусматривающие требования к объекту внутреннего государственного (муниципального) финансового контроля </w:t>
      </w:r>
      <w:r w:rsidRPr="00DA5C7A">
        <w:rPr>
          <w:rFonts w:ascii="Times New Roman" w:eastAsia="Calibri" w:hAnsi="Times New Roman" w:cs="Times New Roman"/>
          <w:sz w:val="28"/>
          <w:szCs w:val="28"/>
        </w:rPr>
        <w:br/>
        <w:t xml:space="preserve">(далее – объект контроля), вручаются руководителю (уполномоченному представителю) объекта контроля либо направляются объекту контроля заказным почтовым отправлением с уведомлением о вручении или иным способом, подтверждающим их получение объектом контроля, в том числе </w:t>
      </w:r>
      <w:r w:rsidRPr="00DA5C7A">
        <w:rPr>
          <w:rFonts w:ascii="Times New Roman" w:eastAsia="Calibri" w:hAnsi="Times New Roman" w:cs="Times New Roman"/>
          <w:sz w:val="28"/>
          <w:szCs w:val="28"/>
        </w:rPr>
        <w:br/>
        <w:t>с применением факсимильной связи и (или) автоматизированных информационных систем.</w:t>
      </w:r>
      <w:proofErr w:type="gramEnd"/>
    </w:p>
    <w:p w:rsidR="00DA5C7A" w:rsidRPr="00DA5C7A" w:rsidRDefault="00DA5C7A" w:rsidP="00DA5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sub_10022"/>
      <w:bookmarkEnd w:id="2"/>
      <w:r w:rsidRPr="00DA5C7A">
        <w:rPr>
          <w:rFonts w:ascii="Times New Roman" w:eastAsia="Calibri" w:hAnsi="Times New Roman" w:cs="Times New Roman"/>
          <w:sz w:val="28"/>
          <w:szCs w:val="28"/>
        </w:rPr>
        <w:t>Документы, оформляемые в целях реализации результатов контрольного мероприятия, и информация, подготавливаемая в целях реализации результатов контрольного мероприятия, направляются иным органам и организациям, указанным в настоящем стандарте, в порядке, предусмотренном законодательством Луганской Народной Республики.</w:t>
      </w:r>
    </w:p>
    <w:p w:rsidR="00DA5C7A" w:rsidRPr="00DA5C7A" w:rsidRDefault="00DA5C7A" w:rsidP="00DA5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5C7A" w:rsidRPr="00DA5C7A" w:rsidRDefault="00DA5C7A" w:rsidP="00DA5C7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4" w:name="sub_1003"/>
      <w:bookmarkEnd w:id="3"/>
      <w:r w:rsidRPr="00DA5C7A">
        <w:rPr>
          <w:rFonts w:ascii="Times New Roman" w:eastAsia="Calibri" w:hAnsi="Times New Roman" w:cs="Times New Roman"/>
          <w:sz w:val="28"/>
          <w:szCs w:val="28"/>
        </w:rPr>
        <w:t xml:space="preserve">1.3. Производство по делам об административных правонарушениях, направленных на реализацию результатов контрольных мероприятий, осуществляется в порядке, установленном </w:t>
      </w:r>
      <w:hyperlink r:id="rId7" w:history="1">
        <w:r w:rsidRPr="00DA5C7A">
          <w:rPr>
            <w:rFonts w:ascii="Times New Roman" w:eastAsia="Calibri" w:hAnsi="Times New Roman" w:cs="Times New Roman"/>
            <w:sz w:val="28"/>
            <w:szCs w:val="28"/>
          </w:rPr>
          <w:t>законодательством</w:t>
        </w:r>
      </w:hyperlink>
      <w:r w:rsidRPr="00DA5C7A">
        <w:rPr>
          <w:rFonts w:ascii="Times New Roman" w:eastAsia="Calibri" w:hAnsi="Times New Roman" w:cs="Times New Roman"/>
          <w:sz w:val="28"/>
          <w:szCs w:val="28"/>
        </w:rPr>
        <w:t xml:space="preserve"> Луганской Народной Республики об административных правонарушениях.</w:t>
      </w:r>
    </w:p>
    <w:bookmarkEnd w:id="4"/>
    <w:p w:rsidR="00DA5C7A" w:rsidRPr="00DA5C7A" w:rsidRDefault="00DA5C7A" w:rsidP="00DA5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C7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II.</w:t>
      </w:r>
      <w:bookmarkStart w:id="5" w:name="sub_1222"/>
      <w:r w:rsidRPr="00DA5C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bookmarkStart w:id="6" w:name="sub_1230"/>
      <w:r w:rsidRPr="00DA5C7A">
        <w:rPr>
          <w:rFonts w:ascii="Times New Roman" w:eastAsia="Times New Roman" w:hAnsi="Times New Roman" w:cs="Times New Roman"/>
          <w:b/>
          <w:bCs/>
          <w:sz w:val="28"/>
          <w:szCs w:val="28"/>
        </w:rPr>
        <w:t>Реализация результатов контрольного мероприятия</w:t>
      </w:r>
    </w:p>
    <w:p w:rsidR="00DA5C7A" w:rsidRPr="00DA5C7A" w:rsidRDefault="00DA5C7A" w:rsidP="00DA5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7" w:name="sub_1004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2.1. Акт проверки (ревизии), возражения объекта контроля на акт проверки (ревизии) (при их наличии), а также иные материалы проверки (ревизии) подлежат рассмотрению руководителем (заместителем руководителя) органа контроля, по результатам которого принимается одно или несколько решений:</w:t>
      </w:r>
    </w:p>
    <w:bookmarkEnd w:id="7"/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наличии или об отсутствии оснований для направления представления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 (или) предписания объекту контроля;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наличии</w:t>
      </w:r>
      <w:proofErr w:type="gramEnd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об отсутствии оснований для направления информации 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br/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в правоохранительные органы, органы прокуратуры и иные государственные (муниципальные) органы;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наличии</w:t>
      </w:r>
      <w:proofErr w:type="gramEnd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или об отсутствии оснований для назначения внеплановой выездной проверки (ревизии), далее – повторная проверка (ревизия), 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br/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в том числе при наличии: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письменных возражений от объекта контроля и представленных объектом контроля дополнительных документов, относящихся к проверенному периоду, влияющих на выводы по результатам проведения проверки (ревизии);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признаков нарушений, которые не могут в полной мере быть подтверждены в рамках проведенной проверки (ревизии).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8" w:name="sub_1005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2.2. Заключение, составленное по результатам обследования, возражения объекта контроля на него (при их наличии), а также иные материалы обследования подлежат рассмотрению руководителем (заместителем руководителя) органа контроля, по результатам которого может быть принято решение о проведении внеплановой выездной проверки (ревизии).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9" w:name="sub_1006"/>
      <w:bookmarkEnd w:id="8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2.3.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Акт, заключение и иные материалы контрольного мероприятия подлежат рассмотрению руководителем (заместителем руководителя) органа контроля в срок не более 50 рабочих дней со дня подписания акта, заключения.</w:t>
      </w:r>
    </w:p>
    <w:bookmarkEnd w:id="9"/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Результаты повторной проверки (ревизии) рассматриваются 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br/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в совокупности с результатами проверки (ревизии), по результатам которой принято решение о назначении повторной проверки (ревизии).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результатам повторной проверки (ревизии) не может быть принято повторное решение о назначении внеплановой выездной проверки (ревизии) 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br/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отношении одного и того же объекта контроля, темы проверки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проверяемого периода.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Порядок рассмотрения акта, заключения и иных материалов контрольного мероприятия может быть установлен ведомственным стандартом органа контроля.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0" w:name="sub_1007"/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>2.4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proofErr w:type="gramStart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решения руководителя (заместителя руководителя) органа контроля, принятого по результатам рассмотрения акта проверки (ревизии), а также иных материалов проверки (ревизии), результатов повторной проверки (ревизии), о наличии оснований для направления представления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 (или) предписания объекту контроля и (или) о наличии оснований 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br/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для направления информации в правоохранительные органы, органы прокуратуры и иные государственные (муниципальные) органы должностные лица органа контроля, ответственные за</w:t>
      </w:r>
      <w:proofErr w:type="gramEnd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проведение контрольного мероприятия, при отсутствии оснований для назначения повторной проверки (ревизии) обеспечивают подготовку и направление:</w:t>
      </w:r>
    </w:p>
    <w:bookmarkEnd w:id="10"/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представления и (или) предписания объекту контроля;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информации в правоохранительные органы, органы прокуратуры и иные государственные (муниципальные) органы.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11" w:name="sub_1008"/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2.5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 контроля направляет объекту контроля представление 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br/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не позднее 10 рабочих дней со дня принятия решения о его направлении.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2" w:name="sub_1009"/>
      <w:bookmarkEnd w:id="11"/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2.6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возможности определения суммы причиненного ущерба публично-правовому образованию орган контроля направляет объекту контроля предписание:</w:t>
      </w:r>
    </w:p>
    <w:bookmarkEnd w:id="12"/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одновременно с представлением – в случае невозможности устранения нарушения;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срок не позднее 5 рабочих дней со дня окончания срока исполнения представления – в случае </w:t>
      </w:r>
      <w:proofErr w:type="spellStart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неустранения</w:t>
      </w:r>
      <w:proofErr w:type="spellEnd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нарушения либо частичного </w:t>
      </w:r>
      <w:proofErr w:type="spellStart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неустранения</w:t>
      </w:r>
      <w:proofErr w:type="spellEnd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нарушения в установленный в представлении срок.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2.7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 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Одновременно с направлением объекту контроля представления, предписания орган контроля направляет их копии: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главному распорядителю бюджетных средств – в случае, если объект контроля является подведомственным ему получателем бюджетных средств;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исполнительному органу государственной власти (органу местного самоуправления), осуществляющему функции и полномочия учредителя, –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случае, если объект контроля является бюджетным учреждением.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bookmarkStart w:id="13" w:name="sub_10104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Порядок направления органом контроля копий представлений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предписаний объектам контроля может быть установлен ведомственным стандартом органа контроля.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4" w:name="sub_1011"/>
      <w:bookmarkEnd w:id="13"/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2.8. 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представлении, помимо требований, предусмотренных </w:t>
      </w:r>
      <w:hyperlink r:id="rId8" w:history="1">
        <w:r w:rsidRPr="00DA5C7A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1 статьи 130</w:t>
        </w:r>
      </w:hyperlink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Закона Луганской Народной Республики от 25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.12.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2020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№ 236-III «Об основах бюджетного устройства и бюджетного процесса в Луганской Народной Республике»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(с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изменениями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),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далее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– Закон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№ 236-III, указываются:</w:t>
      </w:r>
    </w:p>
    <w:bookmarkEnd w:id="14"/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объект контроля, тема проверки (ревизии), проверенный период;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основания проведения проверки (ревизии), реквизиты акта проверки (ревизии);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информация о выявленных нарушениях, нарушениях, по которым принято решение о направлении представления, в том числе информация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 суммах средств, использованных с этими нарушениями;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положение о предоставлении объектом контроля информации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 результатах исполнения представления с приложением копий документов, подтверждающих его исполнение, и сроки направления объектом контроля указанных информации и материалов органу контроля.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5" w:name="sub_1012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2.9. В предписании, помимо требований, предусмотренных </w:t>
      </w:r>
      <w:hyperlink r:id="rId9" w:history="1">
        <w:r w:rsidRPr="00DA5C7A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2 статьи 130</w:t>
        </w:r>
      </w:hyperlink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Закона № 236-III, указываются:</w:t>
      </w:r>
    </w:p>
    <w:bookmarkEnd w:id="15"/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объект контроля, тема проверки (ревизии), проверенный период;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реквизиты представления, содержащего информацию о нарушении, влекущем причинение ущерба публично-правовому образованию,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информация об этом нарушении;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сумма ущерба, причиненного публично-правовому образованию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(без учета объемов средств, перечисленных в возмещение указанного ущерба до направления предписания);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требование о принятии объектом контроля мер по возмещению причиненного ущерба публично-правовому образованию, в том числе мер, предусматривающих направление объектом контроля, являющимся государственным (муниципальным) органом или государственным (муниципальным) учреждением, требований о возврате средств к юридическим или физическим лицам, необоснованно их получившим, и (или) виновным должностным лицам, и осуществление </w:t>
      </w:r>
      <w:proofErr w:type="spellStart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претензионно</w:t>
      </w:r>
      <w:proofErr w:type="spellEnd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-исковой работы;</w:t>
      </w:r>
      <w:proofErr w:type="gramEnd"/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положение о предоставлении объектом контроля информации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 результатах исполнения предписания с приложением копий документов, подтверждающих его исполнение, и сроки направления объектом контроля указанных информации и материалов органу контроля.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6" w:name="sub_1013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2.10. </w:t>
      </w:r>
      <w:proofErr w:type="gramStart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исполнением объектами контроля представлений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и предписаний осуществляется должностными лицами органа контроля, ответственными за проведение контрольного мероприятия, по результатам которого принято решение о направлении представления (предписания),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основании информации, поступающей от объекта контроля в соответствии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с представлением (предписанием).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7" w:name="sub_1014"/>
      <w:bookmarkEnd w:id="16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2.11. Представление считается исполненным в случае, когда предоставленные объектом контроля документы, материалы и информация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подтверждают устранение нарушения и (или) принятие указанных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в представлении мер по устранению причин и условий нарушения,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а также в случае наличия указанной информации в государственных (муниципальных) информационных системах.</w:t>
      </w:r>
    </w:p>
    <w:bookmarkEnd w:id="17"/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Указанные в предписании требования о возмещении ущерба, причиненного публично-правовому образованию, считаются исполненными объектом контроля после зачисления в полном объеме средств возмещения ущерба на единый счет соответствующего бюджета бюджетной системы Луганской Народной Республики.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8" w:name="sub_1015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2.12. Неисполнение представления или предписания является основанием для принятия решения о возбуждении должностным лицом органа контроля дела об административном правонарушении в отношении объекта контроля (его должностного лица), не исполнившего такое представление или предписание.</w:t>
      </w:r>
    </w:p>
    <w:bookmarkEnd w:id="18"/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Неисполнение представления является основанием для принятия решения руководителем (заместителем руководителя) органа контроля о подготовке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направлении в Министерство финансов Луганской Народной Республики, финансовые органы, органы управления государственным внебюджетным фондом уведомления о применении бюджетных мер принуждения.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случае неисполнения предписания Государственное казначейство Луганской Народной Республики направляет в суд исковое заявление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 возмещении объектом контроля ущерба, причиненного публично-правовому образованию.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9" w:name="sub_1016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2.13. Обжалование представлений и предписаний органа контроля осуществляется:</w:t>
      </w:r>
    </w:p>
    <w:bookmarkEnd w:id="19"/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досудебном порядке – в соответствии с государственным стандартом внутреннего государственного (муниципального) финансового контроля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 правилах досудебного обжалования решений и действий (бездействия) органов контроля и их должностных лиц;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в судебном порядке – по правилам, установленным законодательством Луганской Народной Республики.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0" w:name="sub_1017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2.14. В уведомлении о применении бюджетных мер принуждения, помимо информации, предусмотренной </w:t>
      </w:r>
      <w:hyperlink r:id="rId10" w:history="1">
        <w:r w:rsidRPr="00DA5C7A">
          <w:rPr>
            <w:rFonts w:ascii="Times New Roman" w:eastAsia="Calibri" w:hAnsi="Times New Roman" w:cs="Times New Roman"/>
            <w:sz w:val="28"/>
            <w:szCs w:val="28"/>
            <w:lang w:eastAsia="ru-RU"/>
          </w:rPr>
          <w:t xml:space="preserve">абзацем первым части 4 статьи </w:t>
        </w:r>
      </w:hyperlink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132 Закона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№ 236-III, указываются объект контроля, тема проверки (ревизии), проверенный период.</w:t>
      </w:r>
    </w:p>
    <w:bookmarkEnd w:id="20"/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 контроля направляет финансовому органу, органу управления государственным внебюджетным фондом уведомление о применении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бюджетных мер принуждения в сроки и порядке, которые предусмотрены абзацем 3 части 4 статьи 132 Закона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№ 236-III.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По основаниям и в порядке, которые предусмотрены абзацем четвертым части 4 статьи 132 Закона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№ 236-III, орган контроля подготавливает уведомление о применении бюджетных мер принуждения, содержащее уточненные сведения, которое также должно содержать помимо уточненной на основании запроса финансового органа, органа управления государственным внебюджетным фондом информации, предусмотренной абзацем первым части 4 статьи 132 Закона</w:t>
      </w:r>
      <w:r w:rsidRPr="00DA5C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№ 236-III, указание на объект контроля, тему проверки (ревизии</w:t>
      </w:r>
      <w:proofErr w:type="gramEnd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), проверенный период.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2.15. Формы представления, предписания и уведомления о применении бюджетных мер принуждения устанавливаются Министерством финансов Луганской Народной Республики.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bookmarkEnd w:id="5"/>
    <w:bookmarkEnd w:id="6"/>
    <w:p w:rsidR="00DA5C7A" w:rsidRPr="00DA5C7A" w:rsidRDefault="00DA5C7A" w:rsidP="00DA5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C7A">
        <w:rPr>
          <w:rFonts w:ascii="Times New Roman" w:eastAsia="Times New Roman" w:hAnsi="Times New Roman" w:cs="Times New Roman"/>
          <w:b/>
          <w:bCs/>
          <w:sz w:val="28"/>
          <w:szCs w:val="28"/>
        </w:rPr>
        <w:t>III. Продление срока исполнения представления, предписания</w:t>
      </w:r>
    </w:p>
    <w:p w:rsidR="00DA5C7A" w:rsidRPr="00DA5C7A" w:rsidRDefault="00DA5C7A" w:rsidP="00DA5C7A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1" w:name="sub_1019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3.1. </w:t>
      </w:r>
      <w:proofErr w:type="gramStart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о продлении срока исполнения представления (предписания) принимается однократно на основании поступления в орган контроля обращения объекта контроля, которому направлено представление (предписание) о невозможности исполнения представления (предписания)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установленный срок в связи с возникновением обстоятельств, препятствующих его исполнению, с приложением заверенных в установленном порядке документов (материалов), подтверждающих наступление обстоятельств, в том числе:</w:t>
      </w:r>
      <w:proofErr w:type="gramEnd"/>
    </w:p>
    <w:bookmarkEnd w:id="21"/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осуществление объектом контроля </w:t>
      </w:r>
      <w:proofErr w:type="spellStart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претензионно</w:t>
      </w:r>
      <w:proofErr w:type="spellEnd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-исковой работы в целях исполнения представления (предписания);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реорганизации объекта контроля;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рассмотрение жалобы объекта контроля (его уполномоченного представителя) в соответствии с государственным стандартом внутреннего государственного (муниципального) финансового контроля о правилах досудебного обжалования решений и действий (бездействия) органов внутреннего государственного (муниципального) финансового контроля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 их должностных лиц;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обстоятельства, делающие невозможным исполнение представления (предписания) в установленные сроки, не зависящие от объекта контроля,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в том числе обстоятельства непреодолимой силы.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2" w:name="sub_1020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3.2. Обращение, содержащее основания для продления срока исполнения представления (предписания), может быть направлено органу контроля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не позднее, чем за 10 рабочих дней до окончания срока исполнения представления (предписания).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3" w:name="sub_1021"/>
      <w:bookmarkEnd w:id="22"/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 Решение руководителя (заместителя руководителя) органа контроля </w:t>
      </w:r>
      <w:r w:rsidRPr="00DA5C7A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о продлении срока исполнения требования, содержащегося в представлении (предписании), или решение об отсутствии оснований продления срока исполнения представления (предписания) принимается руководителем (заместителем руководителя) органа контроля в течение 10 рабочих дней со дня поступления соответствующего обращения.</w:t>
      </w:r>
    </w:p>
    <w:p w:rsidR="00DA5C7A" w:rsidRPr="00DA5C7A" w:rsidRDefault="00DA5C7A" w:rsidP="00DA5C7A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bookmarkEnd w:id="23"/>
    <w:p w:rsidR="00DA5C7A" w:rsidRPr="00DA5C7A" w:rsidRDefault="00DA5C7A" w:rsidP="00DA5C7A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5C7A">
        <w:rPr>
          <w:rFonts w:ascii="Times New Roman" w:eastAsia="Calibri" w:hAnsi="Times New Roman" w:cs="Times New Roman"/>
          <w:sz w:val="28"/>
          <w:szCs w:val="28"/>
        </w:rPr>
        <w:t xml:space="preserve">3.4. Орган контроля уведомляет объект контроля о решении, принятом </w:t>
      </w:r>
      <w:r w:rsidRPr="00DA5C7A">
        <w:rPr>
          <w:rFonts w:ascii="Times New Roman" w:eastAsia="Calibri" w:hAnsi="Times New Roman" w:cs="Times New Roman"/>
          <w:sz w:val="28"/>
          <w:szCs w:val="28"/>
        </w:rPr>
        <w:br/>
        <w:t xml:space="preserve">в соответствии с </w:t>
      </w:r>
      <w:hyperlink w:anchor="sub_1021" w:history="1">
        <w:r w:rsidRPr="00DA5C7A">
          <w:rPr>
            <w:rFonts w:ascii="Times New Roman" w:eastAsia="Calibri" w:hAnsi="Times New Roman" w:cs="Times New Roman"/>
            <w:sz w:val="28"/>
            <w:szCs w:val="28"/>
          </w:rPr>
          <w:t>пунктом 3.3</w:t>
        </w:r>
      </w:hyperlink>
      <w:r w:rsidRPr="00DA5C7A">
        <w:rPr>
          <w:rFonts w:ascii="Times New Roman" w:eastAsia="Calibri" w:hAnsi="Times New Roman" w:cs="Times New Roman"/>
          <w:sz w:val="28"/>
          <w:szCs w:val="28"/>
        </w:rPr>
        <w:t xml:space="preserve"> настоящего стандарта, не позднее дня, следующего за днем принятия указанного решения.</w:t>
      </w:r>
    </w:p>
    <w:p w:rsidR="00DA5C7A" w:rsidRPr="00DA5C7A" w:rsidRDefault="00DA5C7A" w:rsidP="00DA5C7A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5C7A" w:rsidRPr="00DA5C7A" w:rsidRDefault="00DA5C7A" w:rsidP="00DA5C7A">
      <w:pPr>
        <w:widowControl w:val="0"/>
        <w:tabs>
          <w:tab w:val="left" w:pos="851"/>
          <w:tab w:val="left" w:pos="993"/>
          <w:tab w:val="left" w:pos="1134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A5C7A" w:rsidRPr="00DA5C7A" w:rsidRDefault="00DA5C7A" w:rsidP="00DA5C7A">
      <w:pPr>
        <w:suppressAutoHyphens/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Руководитель </w:t>
      </w:r>
    </w:p>
    <w:p w:rsidR="00DA5C7A" w:rsidRPr="00DA5C7A" w:rsidRDefault="00DA5C7A" w:rsidP="00DA5C7A">
      <w:pPr>
        <w:suppressAutoHyphens/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Аппарата Правительства </w:t>
      </w:r>
    </w:p>
    <w:p w:rsidR="00DA5C7A" w:rsidRPr="00DA5C7A" w:rsidRDefault="00DA5C7A" w:rsidP="00DA5C7A">
      <w:pPr>
        <w:spacing w:after="0" w:line="264" w:lineRule="auto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DA5C7A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Луганской Народной Республики                                                         А. И. </w:t>
      </w:r>
      <w:proofErr w:type="spellStart"/>
      <w:r w:rsidRPr="00DA5C7A">
        <w:rPr>
          <w:rFonts w:ascii="Times New Roman" w:eastAsia="Calibri" w:hAnsi="Times New Roman" w:cs="Times New Roman"/>
          <w:sz w:val="28"/>
          <w:szCs w:val="24"/>
          <w:lang w:eastAsia="ru-RU"/>
        </w:rPr>
        <w:t>Сумцов</w:t>
      </w:r>
      <w:proofErr w:type="spellEnd"/>
    </w:p>
    <w:p w:rsidR="00DA5C7A" w:rsidRPr="00DA5C7A" w:rsidRDefault="00DA5C7A" w:rsidP="00DA5C7A">
      <w:pPr>
        <w:widowControl w:val="0"/>
        <w:tabs>
          <w:tab w:val="left" w:pos="1134"/>
        </w:tabs>
        <w:autoSpaceDE w:val="0"/>
        <w:autoSpaceDN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C7A" w:rsidRPr="00DA5C7A" w:rsidRDefault="00DA5C7A" w:rsidP="00DA5C7A">
      <w:pPr>
        <w:widowControl w:val="0"/>
        <w:tabs>
          <w:tab w:val="left" w:pos="1134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5C7A" w:rsidRPr="00DA5C7A" w:rsidRDefault="00DA5C7A" w:rsidP="00DA5C7A">
      <w:pPr>
        <w:widowControl w:val="0"/>
        <w:tabs>
          <w:tab w:val="left" w:pos="1134"/>
        </w:tabs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344C" w:rsidRDefault="008E344C"/>
    <w:sectPr w:rsidR="008E344C" w:rsidSect="00DA5C7A">
      <w:headerReference w:type="default" r:id="rId11"/>
      <w:pgSz w:w="11906" w:h="16838"/>
      <w:pgMar w:top="1134" w:right="567" w:bottom="1134" w:left="1701" w:header="284" w:footer="284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2C1A" w:rsidRDefault="00B72C1A" w:rsidP="00DA5C7A">
      <w:pPr>
        <w:spacing w:after="0" w:line="240" w:lineRule="auto"/>
      </w:pPr>
      <w:r>
        <w:separator/>
      </w:r>
    </w:p>
  </w:endnote>
  <w:endnote w:type="continuationSeparator" w:id="0">
    <w:p w:rsidR="00B72C1A" w:rsidRDefault="00B72C1A" w:rsidP="00DA5C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2C1A" w:rsidRDefault="00B72C1A" w:rsidP="00DA5C7A">
      <w:pPr>
        <w:spacing w:after="0" w:line="240" w:lineRule="auto"/>
      </w:pPr>
      <w:r>
        <w:separator/>
      </w:r>
    </w:p>
  </w:footnote>
  <w:footnote w:type="continuationSeparator" w:id="0">
    <w:p w:rsidR="00B72C1A" w:rsidRDefault="00B72C1A" w:rsidP="00DA5C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BC8" w:rsidRDefault="00B72C1A">
    <w:pPr>
      <w:pStyle w:val="a3"/>
      <w:jc w:val="center"/>
      <w:rPr>
        <w:lang w:val="ru-RU"/>
      </w:rPr>
    </w:pPr>
  </w:p>
  <w:p w:rsidR="00905B5C" w:rsidRDefault="0099686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891E3A">
      <w:rPr>
        <w:noProof/>
      </w:rPr>
      <w:t>8</w:t>
    </w:r>
    <w:r>
      <w:fldChar w:fldCharType="end"/>
    </w:r>
  </w:p>
  <w:p w:rsidR="00905B5C" w:rsidRDefault="00B72C1A" w:rsidP="00905B5C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518"/>
    <w:rsid w:val="00891E3A"/>
    <w:rsid w:val="008E344C"/>
    <w:rsid w:val="00996868"/>
    <w:rsid w:val="00B72C1A"/>
    <w:rsid w:val="00D27518"/>
    <w:rsid w:val="00DA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5C7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DA5C7A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DA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5C7A"/>
  </w:style>
  <w:style w:type="paragraph" w:styleId="a7">
    <w:name w:val="Balloon Text"/>
    <w:basedOn w:val="a"/>
    <w:link w:val="a8"/>
    <w:uiPriority w:val="99"/>
    <w:semiHidden/>
    <w:unhideWhenUsed/>
    <w:rsid w:val="00DA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C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A5C7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DA5C7A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DA5C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A5C7A"/>
  </w:style>
  <w:style w:type="paragraph" w:styleId="a7">
    <w:name w:val="Balloon Text"/>
    <w:basedOn w:val="a"/>
    <w:link w:val="a8"/>
    <w:uiPriority w:val="99"/>
    <w:semiHidden/>
    <w:unhideWhenUsed/>
    <w:rsid w:val="00DA5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C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2112604/2702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12125267/11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ivo.garant.ru/document/redirect/12112604/3062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12112604/27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2107</Words>
  <Characters>12012</Characters>
  <Application>Microsoft Office Word</Application>
  <DocSecurity>0</DocSecurity>
  <Lines>100</Lines>
  <Paragraphs>28</Paragraphs>
  <ScaleCrop>false</ScaleCrop>
  <Company/>
  <LinksUpToDate>false</LinksUpToDate>
  <CharactersWithSpaces>14091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2021-06-11T06:25:00Z</cp:lastPrinted>
  <dcterms:created xsi:type="dcterms:W3CDTF">2021-06-11T06:24:00Z</dcterms:created>
  <dcterms:modified xsi:type="dcterms:W3CDTF">2021-06-11T12:22:00Z</dcterms:modified>
</cp:coreProperties>
</file>