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35E" w:rsidRPr="00CD535E" w:rsidRDefault="00CD535E" w:rsidP="00CD535E">
      <w:pPr>
        <w:spacing w:after="0" w:line="240" w:lineRule="auto"/>
        <w:ind w:firstLine="5103"/>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УТВЕРЖДЕН</w:t>
      </w:r>
    </w:p>
    <w:p w:rsidR="00CD535E" w:rsidRPr="00CD535E" w:rsidRDefault="00CD535E" w:rsidP="00CD535E">
      <w:pPr>
        <w:widowControl w:val="0"/>
        <w:tabs>
          <w:tab w:val="left" w:pos="142"/>
          <w:tab w:val="left" w:pos="709"/>
        </w:tabs>
        <w:autoSpaceDE w:val="0"/>
        <w:autoSpaceDN w:val="0"/>
        <w:adjustRightInd w:val="0"/>
        <w:spacing w:after="0" w:line="240" w:lineRule="auto"/>
        <w:ind w:firstLine="5103"/>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постановлением Правительства</w:t>
      </w:r>
    </w:p>
    <w:p w:rsidR="00CD535E" w:rsidRPr="00CD535E" w:rsidRDefault="00CD535E" w:rsidP="00CD535E">
      <w:pPr>
        <w:widowControl w:val="0"/>
        <w:tabs>
          <w:tab w:val="left" w:pos="142"/>
          <w:tab w:val="left" w:pos="709"/>
        </w:tabs>
        <w:autoSpaceDE w:val="0"/>
        <w:autoSpaceDN w:val="0"/>
        <w:adjustRightInd w:val="0"/>
        <w:spacing w:after="0" w:line="240" w:lineRule="auto"/>
        <w:ind w:firstLine="5103"/>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Луганской Народной Республики</w:t>
      </w:r>
    </w:p>
    <w:p w:rsidR="00CD535E" w:rsidRPr="00CD535E" w:rsidRDefault="00CD535E" w:rsidP="00CD535E">
      <w:pPr>
        <w:widowControl w:val="0"/>
        <w:tabs>
          <w:tab w:val="left" w:pos="142"/>
          <w:tab w:val="left" w:pos="709"/>
        </w:tabs>
        <w:autoSpaceDE w:val="0"/>
        <w:autoSpaceDN w:val="0"/>
        <w:adjustRightInd w:val="0"/>
        <w:spacing w:after="0" w:line="240" w:lineRule="auto"/>
        <w:ind w:firstLine="5103"/>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от «</w:t>
      </w:r>
      <w:r w:rsidR="008F7B00">
        <w:rPr>
          <w:rFonts w:ascii="Times New Roman" w:eastAsia="Times New Roman" w:hAnsi="Times New Roman" w:cs="Times New Roman"/>
          <w:sz w:val="28"/>
          <w:szCs w:val="28"/>
        </w:rPr>
        <w:t>02</w:t>
      </w:r>
      <w:r w:rsidRPr="00CD535E">
        <w:rPr>
          <w:rFonts w:ascii="Times New Roman" w:eastAsia="Times New Roman" w:hAnsi="Times New Roman" w:cs="Times New Roman"/>
          <w:sz w:val="28"/>
          <w:szCs w:val="28"/>
        </w:rPr>
        <w:t xml:space="preserve">» </w:t>
      </w:r>
      <w:r w:rsidR="008F7B00">
        <w:rPr>
          <w:rFonts w:ascii="Times New Roman" w:eastAsia="Times New Roman" w:hAnsi="Times New Roman" w:cs="Times New Roman"/>
          <w:sz w:val="28"/>
          <w:szCs w:val="28"/>
        </w:rPr>
        <w:t xml:space="preserve">октября </w:t>
      </w:r>
      <w:r w:rsidRPr="00CD535E">
        <w:rPr>
          <w:rFonts w:ascii="Times New Roman" w:eastAsia="Times New Roman" w:hAnsi="Times New Roman" w:cs="Times New Roman"/>
          <w:sz w:val="28"/>
          <w:szCs w:val="28"/>
        </w:rPr>
        <w:t>2020 года №</w:t>
      </w:r>
      <w:r w:rsidR="008F7B00">
        <w:rPr>
          <w:rFonts w:ascii="Times New Roman" w:eastAsia="Times New Roman" w:hAnsi="Times New Roman" w:cs="Times New Roman"/>
          <w:sz w:val="28"/>
          <w:szCs w:val="28"/>
        </w:rPr>
        <w:t xml:space="preserve"> 734/20</w:t>
      </w:r>
    </w:p>
    <w:p w:rsidR="00CD535E" w:rsidRPr="00CD535E" w:rsidRDefault="00CD535E" w:rsidP="00CD535E">
      <w:pPr>
        <w:widowControl w:val="0"/>
        <w:tabs>
          <w:tab w:val="left" w:pos="142"/>
          <w:tab w:val="left" w:pos="709"/>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CD535E" w:rsidRPr="00CD535E" w:rsidRDefault="00CD535E" w:rsidP="00CD535E">
      <w:pPr>
        <w:widowControl w:val="0"/>
        <w:tabs>
          <w:tab w:val="left" w:pos="142"/>
          <w:tab w:val="left" w:pos="709"/>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CD535E" w:rsidRPr="00CD535E" w:rsidRDefault="00CD535E" w:rsidP="00CD535E">
      <w:pPr>
        <w:spacing w:after="0" w:line="240" w:lineRule="auto"/>
        <w:jc w:val="center"/>
        <w:rPr>
          <w:rFonts w:ascii="Times New Roman" w:eastAsia="Times New Roman" w:hAnsi="Times New Roman" w:cs="Times New Roman"/>
          <w:b/>
          <w:sz w:val="28"/>
          <w:szCs w:val="28"/>
        </w:rPr>
      </w:pPr>
      <w:r w:rsidRPr="00CD535E">
        <w:rPr>
          <w:rFonts w:ascii="Times New Roman" w:eastAsia="Times New Roman" w:hAnsi="Times New Roman" w:cs="Times New Roman"/>
          <w:b/>
          <w:sz w:val="28"/>
          <w:szCs w:val="28"/>
        </w:rPr>
        <w:t>Порядок размещения и содержания торгово-остановочных комплексов</w:t>
      </w:r>
    </w:p>
    <w:p w:rsidR="00CD535E" w:rsidRPr="00CD535E" w:rsidRDefault="00CD535E" w:rsidP="00CD535E">
      <w:pPr>
        <w:spacing w:after="0" w:line="240" w:lineRule="auto"/>
        <w:ind w:firstLine="709"/>
        <w:jc w:val="center"/>
        <w:rPr>
          <w:rFonts w:ascii="Times New Roman" w:eastAsia="Times New Roman" w:hAnsi="Times New Roman" w:cs="Times New Roman"/>
          <w:b/>
          <w:sz w:val="28"/>
          <w:szCs w:val="28"/>
        </w:rPr>
      </w:pPr>
      <w:r w:rsidRPr="00CD535E">
        <w:rPr>
          <w:rFonts w:ascii="Times New Roman" w:eastAsia="Times New Roman" w:hAnsi="Times New Roman" w:cs="Times New Roman"/>
          <w:b/>
          <w:sz w:val="28"/>
          <w:szCs w:val="28"/>
        </w:rPr>
        <w:t>в населенных пунктах Луганской Народной Республики</w:t>
      </w:r>
    </w:p>
    <w:p w:rsidR="00CD535E" w:rsidRPr="00CD535E" w:rsidRDefault="00CD535E" w:rsidP="00CD535E">
      <w:pPr>
        <w:spacing w:after="0" w:line="240" w:lineRule="auto"/>
        <w:ind w:firstLine="709"/>
        <w:jc w:val="both"/>
        <w:rPr>
          <w:rFonts w:ascii="Times New Roman" w:eastAsia="Times New Roman" w:hAnsi="Times New Roman" w:cs="Times New Roman"/>
          <w:b/>
          <w:sz w:val="28"/>
          <w:szCs w:val="28"/>
        </w:rPr>
      </w:pPr>
    </w:p>
    <w:p w:rsidR="00CD535E" w:rsidRPr="00CD535E" w:rsidRDefault="00CD535E" w:rsidP="00CD535E">
      <w:pPr>
        <w:spacing w:after="0" w:line="240" w:lineRule="auto"/>
        <w:jc w:val="center"/>
        <w:rPr>
          <w:rFonts w:ascii="Times New Roman" w:eastAsia="Times New Roman" w:hAnsi="Times New Roman" w:cs="Times New Roman"/>
          <w:b/>
          <w:sz w:val="28"/>
          <w:szCs w:val="28"/>
        </w:rPr>
      </w:pPr>
      <w:smartTag w:uri="urn:schemas-microsoft-com:office:smarttags" w:element="place">
        <w:r w:rsidRPr="00CD535E">
          <w:rPr>
            <w:rFonts w:ascii="Times New Roman" w:eastAsia="Times New Roman" w:hAnsi="Times New Roman" w:cs="Times New Roman"/>
            <w:b/>
            <w:sz w:val="28"/>
            <w:szCs w:val="28"/>
            <w:lang w:val="en-US"/>
          </w:rPr>
          <w:t>I</w:t>
        </w:r>
        <w:r w:rsidRPr="00CD535E">
          <w:rPr>
            <w:rFonts w:ascii="Times New Roman" w:eastAsia="Times New Roman" w:hAnsi="Times New Roman" w:cs="Times New Roman"/>
            <w:b/>
            <w:sz w:val="28"/>
            <w:szCs w:val="28"/>
          </w:rPr>
          <w:t>.</w:t>
        </w:r>
      </w:smartTag>
      <w:r w:rsidRPr="00CD535E">
        <w:rPr>
          <w:rFonts w:ascii="Times New Roman" w:eastAsia="Times New Roman" w:hAnsi="Times New Roman" w:cs="Times New Roman"/>
          <w:b/>
          <w:sz w:val="28"/>
          <w:szCs w:val="28"/>
        </w:rPr>
        <w:t xml:space="preserve"> Общие положения</w:t>
      </w:r>
    </w:p>
    <w:p w:rsidR="00CD535E" w:rsidRPr="00CD535E" w:rsidRDefault="00CD535E" w:rsidP="00CD535E">
      <w:pPr>
        <w:spacing w:after="0" w:line="240" w:lineRule="auto"/>
        <w:ind w:firstLine="709"/>
        <w:jc w:val="center"/>
        <w:rPr>
          <w:rFonts w:ascii="Times New Roman" w:eastAsia="Times New Roman" w:hAnsi="Times New Roman" w:cs="Times New Roman"/>
          <w:b/>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1.1. Порядок размещения и содержания торгово-остановочных комплексов в населенных пунктах Луганской Народной Республики (далее – Порядок) разработан с целью определения механизма размещения торгово-остановочных комплексов (далее – ТОК), основных требований по их содержанию и архитектурно-</w:t>
      </w:r>
      <w:proofErr w:type="gramStart"/>
      <w:r w:rsidRPr="00CD535E">
        <w:rPr>
          <w:rFonts w:ascii="Times New Roman" w:eastAsia="Times New Roman" w:hAnsi="Times New Roman" w:cs="Times New Roman"/>
          <w:sz w:val="28"/>
          <w:szCs w:val="28"/>
        </w:rPr>
        <w:t>художественному решению</w:t>
      </w:r>
      <w:proofErr w:type="gramEnd"/>
      <w:r w:rsidRPr="00CD535E">
        <w:rPr>
          <w:rFonts w:ascii="Times New Roman" w:eastAsia="Times New Roman" w:hAnsi="Times New Roman" w:cs="Times New Roman"/>
          <w:sz w:val="28"/>
          <w:szCs w:val="28"/>
        </w:rPr>
        <w:t xml:space="preserve"> на территории населенных пунктов Луганской Народной Республики.</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1.2. Настоящий Порядок разработан для обеспечения: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соблюдения действующих норм и правил по размещению и оборудованию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создания безопасных и комфортных условий пассажирам для ожидания общественного транспорта, посадки и высадки из него;</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расширения сферы торговли и услуг потребительского рынка;</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создания современного архитектурного облика населенного пункта;</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соблюдения санитарно-технических требований к содержанию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1.3. Термины в настоящем Порядке применяются в таком значении: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архитектурный тип ТОК – внешний архитектурный вид ТОК с размещением информац</w:t>
      </w:r>
      <w:proofErr w:type="gramStart"/>
      <w:r w:rsidRPr="00CD535E">
        <w:rPr>
          <w:rFonts w:ascii="Times New Roman" w:eastAsia="Times New Roman" w:hAnsi="Times New Roman" w:cs="Times New Roman"/>
          <w:sz w:val="28"/>
          <w:szCs w:val="28"/>
        </w:rPr>
        <w:t>ии о е</w:t>
      </w:r>
      <w:proofErr w:type="gramEnd"/>
      <w:r w:rsidRPr="00CD535E">
        <w:rPr>
          <w:rFonts w:ascii="Times New Roman" w:eastAsia="Times New Roman" w:hAnsi="Times New Roman" w:cs="Times New Roman"/>
          <w:sz w:val="28"/>
          <w:szCs w:val="28"/>
        </w:rPr>
        <w:t>го собственнике (пользователе), названии продукции и/или услуги, которые предоставляются;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генеральный план размещения ТОК – графический и текстовый материал, выполненный на планово-картографическом материале в масштабе М 1:500 с нанесением красных линий улиц и дорог населенных пунктов (далее – красные линии), с согласованиями органов, предприятий в сфере связи, газ</w:t>
      </w:r>
      <w:proofErr w:type="gramStart"/>
      <w:r w:rsidRPr="00CD535E">
        <w:rPr>
          <w:rFonts w:ascii="Times New Roman" w:eastAsia="Times New Roman" w:hAnsi="Times New Roman" w:cs="Times New Roman"/>
          <w:sz w:val="28"/>
          <w:szCs w:val="28"/>
        </w:rPr>
        <w:t>о-</w:t>
      </w:r>
      <w:proofErr w:type="gramEnd"/>
      <w:r w:rsidRPr="00CD535E">
        <w:rPr>
          <w:rFonts w:ascii="Times New Roman" w:eastAsia="Times New Roman" w:hAnsi="Times New Roman" w:cs="Times New Roman"/>
          <w:sz w:val="28"/>
          <w:szCs w:val="28"/>
        </w:rPr>
        <w:t>, электро-, водо-, теплоснабжения, а также структурных подразделений администрации города и/или района Луганской Народной Республики по вопросам земельных отношений, транспорта, Управления государственной инспекции безопасности дорожного движения Министерства внутренних дел Луганской Народной Республики (далее – УГИБДД МВД ЛНР);</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заказчик – субъект хозяйственной деятельности (юридическое лицо, физическое лицо – предприниматель), которые намереваются </w:t>
      </w:r>
      <w:proofErr w:type="gramStart"/>
      <w:r w:rsidRPr="00CD535E">
        <w:rPr>
          <w:rFonts w:ascii="Times New Roman" w:eastAsia="Times New Roman" w:hAnsi="Times New Roman" w:cs="Times New Roman"/>
          <w:sz w:val="28"/>
          <w:szCs w:val="28"/>
        </w:rPr>
        <w:t>разместить ТОК</w:t>
      </w:r>
      <w:proofErr w:type="gramEnd"/>
      <w:r w:rsidRPr="00CD535E">
        <w:rPr>
          <w:rFonts w:ascii="Times New Roman" w:eastAsia="Times New Roman" w:hAnsi="Times New Roman" w:cs="Times New Roman"/>
          <w:sz w:val="28"/>
          <w:szCs w:val="28"/>
        </w:rPr>
        <w:t xml:space="preserve"> на земельном участке с учетом паспорта привязки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lastRenderedPageBreak/>
        <w:t xml:space="preserve">паспорт привязки ТОК – документ, содержащий данные, изложенные в пункте 4.8 раздела </w:t>
      </w:r>
      <w:r w:rsidRPr="00CD535E">
        <w:rPr>
          <w:rFonts w:ascii="Times New Roman" w:eastAsia="Times New Roman" w:hAnsi="Times New Roman" w:cs="Times New Roman"/>
          <w:sz w:val="28"/>
          <w:szCs w:val="28"/>
          <w:lang w:val="en-US"/>
        </w:rPr>
        <w:t>IV</w:t>
      </w:r>
      <w:r w:rsidRPr="00CD535E">
        <w:rPr>
          <w:rFonts w:ascii="Times New Roman" w:eastAsia="Times New Roman" w:hAnsi="Times New Roman" w:cs="Times New Roman"/>
          <w:sz w:val="28"/>
          <w:szCs w:val="28"/>
        </w:rPr>
        <w:t xml:space="preserve"> настоящего Порядка, в котором определены место установления и внешние параметры ТОК (приложение № 1);</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схема благоустройства ТОК – схема, выполненная в масштабе М 1:200 с указанием мероприятий по благоустройству и озеленению территории, прилегающей </w:t>
      </w:r>
      <w:proofErr w:type="gramStart"/>
      <w:r w:rsidRPr="00CD535E">
        <w:rPr>
          <w:rFonts w:ascii="Times New Roman" w:eastAsia="Times New Roman" w:hAnsi="Times New Roman" w:cs="Times New Roman"/>
          <w:sz w:val="28"/>
          <w:szCs w:val="28"/>
        </w:rPr>
        <w:t>к</w:t>
      </w:r>
      <w:proofErr w:type="gramEnd"/>
      <w:r w:rsidRPr="00CD535E">
        <w:rPr>
          <w:rFonts w:ascii="Times New Roman" w:eastAsia="Times New Roman" w:hAnsi="Times New Roman" w:cs="Times New Roman"/>
          <w:sz w:val="28"/>
          <w:szCs w:val="28"/>
        </w:rPr>
        <w:t xml:space="preserve"> ТОК, в том числе размещение цветников, подъездов автотранспорта, урн, устройство дорожного покрытия или мощения фигурными элементами;</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типовые ТОК – виды ТОК, выполненные по проектам повторного применения;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roofErr w:type="gramStart"/>
      <w:r w:rsidRPr="00CD535E">
        <w:rPr>
          <w:rFonts w:ascii="Times New Roman" w:eastAsia="Times New Roman" w:hAnsi="Times New Roman" w:cs="Times New Roman"/>
          <w:sz w:val="28"/>
          <w:szCs w:val="28"/>
        </w:rPr>
        <w:t>торгово-остановочный комплекс – объект дорожного сервиса, состоящий из павильона ожидания общественного транспорта, конструктивно объединенного с объектом торговли, размещенный на остановке общественного транспорта и изготавливаемый из облегченных конструкций с учетом основных требований к сооружениям, определенных техническим регламентом строительных изделий, зданий и сооружений, и устанавливаемый  без выполнения фундамента.</w:t>
      </w:r>
      <w:proofErr w:type="gramEnd"/>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Площадь объекта торговли не должна превышать </w:t>
      </w:r>
      <w:smartTag w:uri="urn:schemas-microsoft-com:office:smarttags" w:element="metricconverter">
        <w:smartTagPr>
          <w:attr w:name="ProductID" w:val="20 кв. м"/>
        </w:smartTagPr>
        <w:r w:rsidRPr="00CD535E">
          <w:rPr>
            <w:rFonts w:ascii="Times New Roman" w:eastAsia="Times New Roman" w:hAnsi="Times New Roman" w:cs="Times New Roman"/>
            <w:sz w:val="28"/>
            <w:szCs w:val="28"/>
          </w:rPr>
          <w:t>20 кв. м</w:t>
        </w:r>
      </w:smartTag>
      <w:r w:rsidRPr="00CD535E">
        <w:rPr>
          <w:rFonts w:ascii="Times New Roman" w:eastAsia="Times New Roman" w:hAnsi="Times New Roman" w:cs="Times New Roman"/>
          <w:sz w:val="28"/>
          <w:szCs w:val="28"/>
        </w:rPr>
        <w:t>. по внешнему контуру.</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1.4. При размещении ТОК учитываются все имеющиеся планировочные ограничения, предусмотренные строительными нормами и градостроительной документацией.</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Допускается расположение ТОК в пределах красных линий при условии выполнения требований по обеспечению безопасности дорожного движения.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jc w:val="center"/>
        <w:rPr>
          <w:rFonts w:ascii="Times New Roman" w:eastAsia="Times New Roman" w:hAnsi="Times New Roman" w:cs="Times New Roman"/>
          <w:b/>
          <w:spacing w:val="2"/>
          <w:sz w:val="28"/>
          <w:szCs w:val="28"/>
          <w:shd w:val="clear" w:color="auto" w:fill="FFFFFF"/>
        </w:rPr>
      </w:pPr>
      <w:r w:rsidRPr="00CD535E">
        <w:rPr>
          <w:rFonts w:ascii="Times New Roman" w:eastAsia="Times New Roman" w:hAnsi="Times New Roman" w:cs="Times New Roman"/>
          <w:b/>
          <w:sz w:val="28"/>
          <w:szCs w:val="28"/>
          <w:lang w:val="en-US"/>
        </w:rPr>
        <w:t>II</w:t>
      </w:r>
      <w:r w:rsidRPr="00CD535E">
        <w:rPr>
          <w:rFonts w:ascii="Times New Roman" w:eastAsia="Times New Roman" w:hAnsi="Times New Roman" w:cs="Times New Roman"/>
          <w:b/>
          <w:sz w:val="28"/>
          <w:szCs w:val="28"/>
        </w:rPr>
        <w:t>.</w:t>
      </w:r>
      <w:r w:rsidRPr="00CD535E">
        <w:rPr>
          <w:rFonts w:ascii="Times New Roman" w:eastAsia="Times New Roman" w:hAnsi="Times New Roman" w:cs="Times New Roman"/>
          <w:b/>
          <w:spacing w:val="2"/>
          <w:sz w:val="28"/>
          <w:szCs w:val="28"/>
          <w:shd w:val="clear" w:color="auto" w:fill="FFFFFF"/>
        </w:rPr>
        <w:t xml:space="preserve"> Требования по обеспечению безопасности дорожного движения в местах размещения ТОК</w:t>
      </w:r>
    </w:p>
    <w:p w:rsidR="00CD535E" w:rsidRPr="00CD535E" w:rsidRDefault="00CD535E" w:rsidP="00CD535E">
      <w:pPr>
        <w:spacing w:after="0" w:line="240" w:lineRule="auto"/>
        <w:rPr>
          <w:rFonts w:ascii="Times New Roman" w:eastAsia="Times New Roman" w:hAnsi="Times New Roman" w:cs="Times New Roman"/>
          <w:b/>
          <w:spacing w:val="2"/>
          <w:sz w:val="28"/>
          <w:szCs w:val="28"/>
          <w:shd w:val="clear" w:color="auto" w:fill="FFFFFF"/>
        </w:rPr>
      </w:pP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r w:rsidRPr="00CD535E">
        <w:rPr>
          <w:rFonts w:ascii="Times New Roman" w:eastAsia="Times New Roman" w:hAnsi="Times New Roman" w:cs="Times New Roman"/>
          <w:spacing w:val="2"/>
          <w:sz w:val="28"/>
          <w:szCs w:val="28"/>
          <w:shd w:val="clear" w:color="auto" w:fill="FFFFFF"/>
        </w:rPr>
        <w:t xml:space="preserve">2.1. В зависимости от типов маршрутных транспортных средств, которые одновременно будут осуществлять высадку и посадку пассажиров на ТОК, и их количества длина посадочной площадки должна составлять: одиночной – </w:t>
      </w:r>
      <w:smartTag w:uri="urn:schemas-microsoft-com:office:smarttags" w:element="metricconverter">
        <w:smartTagPr>
          <w:attr w:name="ProductID" w:val="20 м"/>
        </w:smartTagPr>
        <w:r w:rsidRPr="00CD535E">
          <w:rPr>
            <w:rFonts w:ascii="Times New Roman" w:eastAsia="Times New Roman" w:hAnsi="Times New Roman" w:cs="Times New Roman"/>
            <w:spacing w:val="2"/>
            <w:sz w:val="28"/>
            <w:szCs w:val="28"/>
            <w:shd w:val="clear" w:color="auto" w:fill="FFFFFF"/>
          </w:rPr>
          <w:t>20 м</w:t>
        </w:r>
      </w:smartTag>
      <w:r w:rsidRPr="00CD535E">
        <w:rPr>
          <w:rFonts w:ascii="Times New Roman" w:eastAsia="Times New Roman" w:hAnsi="Times New Roman" w:cs="Times New Roman"/>
          <w:spacing w:val="2"/>
          <w:sz w:val="28"/>
          <w:szCs w:val="28"/>
          <w:shd w:val="clear" w:color="auto" w:fill="FFFFFF"/>
        </w:rPr>
        <w:t xml:space="preserve">; двойной – </w:t>
      </w:r>
      <w:smartTag w:uri="urn:schemas-microsoft-com:office:smarttags" w:element="metricconverter">
        <w:smartTagPr>
          <w:attr w:name="ProductID" w:val="35 м"/>
        </w:smartTagPr>
        <w:r w:rsidRPr="00CD535E">
          <w:rPr>
            <w:rFonts w:ascii="Times New Roman" w:eastAsia="Times New Roman" w:hAnsi="Times New Roman" w:cs="Times New Roman"/>
            <w:spacing w:val="2"/>
            <w:sz w:val="28"/>
            <w:szCs w:val="28"/>
            <w:shd w:val="clear" w:color="auto" w:fill="FFFFFF"/>
          </w:rPr>
          <w:t>35 м</w:t>
        </w:r>
      </w:smartTag>
      <w:r w:rsidRPr="00CD535E">
        <w:rPr>
          <w:rFonts w:ascii="Times New Roman" w:eastAsia="Times New Roman" w:hAnsi="Times New Roman" w:cs="Times New Roman"/>
          <w:spacing w:val="2"/>
          <w:sz w:val="28"/>
          <w:szCs w:val="28"/>
          <w:shd w:val="clear" w:color="auto" w:fill="FFFFFF"/>
        </w:rPr>
        <w:t>.</w:t>
      </w: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r w:rsidRPr="00CD535E">
        <w:rPr>
          <w:rFonts w:ascii="Times New Roman" w:eastAsia="Times New Roman" w:hAnsi="Times New Roman" w:cs="Times New Roman"/>
          <w:spacing w:val="2"/>
          <w:sz w:val="28"/>
          <w:szCs w:val="28"/>
          <w:shd w:val="clear" w:color="auto" w:fill="FFFFFF"/>
        </w:rPr>
        <w:t xml:space="preserve">Ширина посадочной площадки определяется величиной пассажирооборота, временем ожидания пассажирами маршрутных транспортных средств и должна составлять не менее </w:t>
      </w:r>
      <w:smartTag w:uri="urn:schemas-microsoft-com:office:smarttags" w:element="metricconverter">
        <w:smartTagPr>
          <w:attr w:name="ProductID" w:val="1,5 м"/>
        </w:smartTagPr>
        <w:r w:rsidRPr="00CD535E">
          <w:rPr>
            <w:rFonts w:ascii="Times New Roman" w:eastAsia="Times New Roman" w:hAnsi="Times New Roman" w:cs="Times New Roman"/>
            <w:spacing w:val="2"/>
            <w:sz w:val="28"/>
            <w:szCs w:val="28"/>
            <w:shd w:val="clear" w:color="auto" w:fill="FFFFFF"/>
          </w:rPr>
          <w:t>1,5 м</w:t>
        </w:r>
      </w:smartTag>
      <w:r w:rsidRPr="00CD535E">
        <w:rPr>
          <w:rFonts w:ascii="Times New Roman" w:eastAsia="Times New Roman" w:hAnsi="Times New Roman" w:cs="Times New Roman"/>
          <w:spacing w:val="2"/>
          <w:sz w:val="28"/>
          <w:szCs w:val="28"/>
          <w:shd w:val="clear" w:color="auto" w:fill="FFFFFF"/>
        </w:rPr>
        <w:t>.</w:t>
      </w: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r w:rsidRPr="00CD535E">
        <w:rPr>
          <w:rFonts w:ascii="Times New Roman" w:eastAsia="Times New Roman" w:hAnsi="Times New Roman" w:cs="Times New Roman"/>
          <w:spacing w:val="2"/>
          <w:sz w:val="28"/>
          <w:szCs w:val="28"/>
          <w:shd w:val="clear" w:color="auto" w:fill="FFFFFF"/>
        </w:rPr>
        <w:t xml:space="preserve">2.2. Посадочные площадки ТОК на автобусных и троллейбусных маршрутах должны обустраиваться на </w:t>
      </w:r>
      <w:smartTag w:uri="urn:schemas-microsoft-com:office:smarttags" w:element="metricconverter">
        <w:smartTagPr>
          <w:attr w:name="ProductID" w:val="20 см"/>
        </w:smartTagPr>
        <w:r w:rsidRPr="00CD535E">
          <w:rPr>
            <w:rFonts w:ascii="Times New Roman" w:eastAsia="Times New Roman" w:hAnsi="Times New Roman" w:cs="Times New Roman"/>
            <w:spacing w:val="2"/>
            <w:sz w:val="28"/>
            <w:szCs w:val="28"/>
            <w:shd w:val="clear" w:color="auto" w:fill="FFFFFF"/>
          </w:rPr>
          <w:t>20 см</w:t>
        </w:r>
      </w:smartTag>
      <w:r w:rsidRPr="00CD535E">
        <w:rPr>
          <w:rFonts w:ascii="Times New Roman" w:eastAsia="Times New Roman" w:hAnsi="Times New Roman" w:cs="Times New Roman"/>
          <w:spacing w:val="2"/>
          <w:sz w:val="28"/>
          <w:szCs w:val="28"/>
          <w:shd w:val="clear" w:color="auto" w:fill="FFFFFF"/>
        </w:rPr>
        <w:t xml:space="preserve"> выше уровня поверхности проезжей части и отделяться от нее бордюрным камнем.</w:t>
      </w: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r w:rsidRPr="00CD535E">
        <w:rPr>
          <w:rFonts w:ascii="Times New Roman" w:eastAsia="Times New Roman" w:hAnsi="Times New Roman" w:cs="Times New Roman"/>
          <w:spacing w:val="2"/>
          <w:sz w:val="28"/>
          <w:szCs w:val="28"/>
          <w:shd w:val="clear" w:color="auto" w:fill="FFFFFF"/>
        </w:rPr>
        <w:t>2.3. Поверхность посадочных площадок должна иметь поперечный уклон в пределах 10 – 15 %.</w:t>
      </w: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r w:rsidRPr="00CD535E">
        <w:rPr>
          <w:rFonts w:ascii="Times New Roman" w:eastAsia="Times New Roman" w:hAnsi="Times New Roman" w:cs="Times New Roman"/>
          <w:spacing w:val="2"/>
          <w:sz w:val="28"/>
          <w:szCs w:val="28"/>
          <w:shd w:val="clear" w:color="auto" w:fill="FFFFFF"/>
        </w:rPr>
        <w:lastRenderedPageBreak/>
        <w:t>Поперечный уклон поверхности посадочных площадок, которые прилегают к проезжей части, должен быть направлен в сторону ее лотка.</w:t>
      </w: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r w:rsidRPr="00CD535E">
        <w:rPr>
          <w:rFonts w:ascii="Times New Roman" w:eastAsia="Times New Roman" w:hAnsi="Times New Roman" w:cs="Times New Roman"/>
          <w:spacing w:val="2"/>
          <w:sz w:val="28"/>
          <w:szCs w:val="28"/>
          <w:shd w:val="clear" w:color="auto" w:fill="FFFFFF"/>
        </w:rPr>
        <w:t>2.4.</w:t>
      </w:r>
      <w:r w:rsidRPr="00CD535E">
        <w:rPr>
          <w:rFonts w:ascii="Times New Roman" w:eastAsia="Times New Roman" w:hAnsi="Times New Roman" w:cs="Times New Roman"/>
          <w:sz w:val="28"/>
          <w:szCs w:val="28"/>
        </w:rPr>
        <w:t xml:space="preserve"> Начало посадочной площадки обозначается соответствующими дорожными знаками 5.41 «Пункт остановки автобуса», 5.42 «Пункт остановки трамвая», 5.43 «Пункт остановки троллейбуса» согласно  Правилам дорожного движения Луганской Народной Республики, утвержденным постановлением Совета Министров Луганской Народной Республики  от 15.05.2018 № 274/18 (далее – Правила дорожного движения).    </w:t>
      </w:r>
    </w:p>
    <w:p w:rsidR="00CD535E" w:rsidRPr="00CD535E" w:rsidRDefault="00CD535E" w:rsidP="00CD535E">
      <w:pPr>
        <w:spacing w:after="0" w:line="240" w:lineRule="auto"/>
        <w:ind w:firstLine="708"/>
        <w:jc w:val="both"/>
        <w:rPr>
          <w:rFonts w:ascii="Times New Roman" w:eastAsia="Times New Roman" w:hAnsi="Times New Roman" w:cs="Times New Roman"/>
          <w:spacing w:val="2"/>
          <w:sz w:val="28"/>
          <w:szCs w:val="28"/>
          <w:shd w:val="clear" w:color="auto" w:fill="FFFFFF"/>
        </w:rPr>
      </w:pP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r w:rsidRPr="00CD535E">
        <w:rPr>
          <w:rFonts w:ascii="Times New Roman" w:eastAsia="Times New Roman" w:hAnsi="Times New Roman" w:cs="Times New Roman"/>
          <w:spacing w:val="2"/>
          <w:sz w:val="28"/>
          <w:szCs w:val="28"/>
          <w:shd w:val="clear" w:color="auto" w:fill="FFFFFF"/>
        </w:rPr>
        <w:t xml:space="preserve">2.5. </w:t>
      </w:r>
      <w:r w:rsidRPr="00CD535E">
        <w:rPr>
          <w:rFonts w:ascii="Times New Roman" w:eastAsia="Times New Roman" w:hAnsi="Times New Roman" w:cs="Times New Roman"/>
          <w:sz w:val="28"/>
          <w:szCs w:val="28"/>
        </w:rPr>
        <w:t>На бордюр посадочной площадки со стороны движения транспорта должна быть нанесена дорожная разметка 2.7, которая согласно Правилам дорожного движения обозначает бордюры в местах, где запрещена стоянка транспортных средств.</w:t>
      </w: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На дорожное покрытие от дорожного знака, обозначающего начало посадочной площадки, в направлении, противоположном движению транспорта, должна быть нанесена дорожная разметка 1.17, которая согласно Правилам дорожного движения обозначает остановки маршрутных транспортных средств и такси.</w:t>
      </w: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2.6. Освещенность ТОК и подходов к нему в темное время суток должна быть не менее 15 </w:t>
      </w:r>
      <w:proofErr w:type="spellStart"/>
      <w:r w:rsidRPr="00CD535E">
        <w:rPr>
          <w:rFonts w:ascii="Times New Roman" w:eastAsia="Times New Roman" w:hAnsi="Times New Roman" w:cs="Times New Roman"/>
          <w:sz w:val="28"/>
          <w:szCs w:val="28"/>
        </w:rPr>
        <w:t>лк</w:t>
      </w:r>
      <w:proofErr w:type="spellEnd"/>
      <w:r w:rsidRPr="00CD535E">
        <w:rPr>
          <w:rFonts w:ascii="Times New Roman" w:eastAsia="Times New Roman" w:hAnsi="Times New Roman" w:cs="Times New Roman"/>
          <w:sz w:val="28"/>
          <w:szCs w:val="28"/>
        </w:rPr>
        <w:t>.</w:t>
      </w: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Объект торговли, конструктивно объединенный с павильоном ожидания общественного транспорта, размещается:</w:t>
      </w: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на расстоянии не менее </w:t>
      </w:r>
      <w:smartTag w:uri="urn:schemas-microsoft-com:office:smarttags" w:element="metricconverter">
        <w:smartTagPr>
          <w:attr w:name="ProductID" w:val="2 м"/>
        </w:smartTagPr>
        <w:r w:rsidRPr="00CD535E">
          <w:rPr>
            <w:rFonts w:ascii="Times New Roman" w:eastAsia="Times New Roman" w:hAnsi="Times New Roman" w:cs="Times New Roman"/>
            <w:sz w:val="28"/>
            <w:szCs w:val="28"/>
          </w:rPr>
          <w:t>2 м</w:t>
        </w:r>
      </w:smartTag>
      <w:r w:rsidRPr="00CD535E">
        <w:rPr>
          <w:rFonts w:ascii="Times New Roman" w:eastAsia="Times New Roman" w:hAnsi="Times New Roman" w:cs="Times New Roman"/>
          <w:sz w:val="28"/>
          <w:szCs w:val="28"/>
        </w:rPr>
        <w:t xml:space="preserve"> от края проезжей части;</w:t>
      </w: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в начале посадочной площадки (дальняя граница посадочной площадки по ходу движения транспорта) либо за павильоном ожидания общественного транспорта фасадом, ориентированным в его сторону.</w:t>
      </w: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Сторона павильона ожидания общественного транспорта по ходу движения транспорта должна иметь прозрачную конструкцию. </w:t>
      </w: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2.7. Площадь павильона ожидания общественного транспорта определяется пассажирооборотом, частотой движения маршрутных транспортных средств и должна составлять не менее </w:t>
      </w:r>
      <w:smartTag w:uri="urn:schemas-microsoft-com:office:smarttags" w:element="metricconverter">
        <w:smartTagPr>
          <w:attr w:name="ProductID" w:val="10 кв. м"/>
        </w:smartTagPr>
        <w:r w:rsidRPr="00CD535E">
          <w:rPr>
            <w:rFonts w:ascii="Times New Roman" w:eastAsia="Times New Roman" w:hAnsi="Times New Roman" w:cs="Times New Roman"/>
            <w:sz w:val="28"/>
            <w:szCs w:val="28"/>
          </w:rPr>
          <w:t>10 кв. м</w:t>
        </w:r>
      </w:smartTag>
      <w:r w:rsidRPr="00CD535E">
        <w:rPr>
          <w:rFonts w:ascii="Times New Roman" w:eastAsia="Times New Roman" w:hAnsi="Times New Roman" w:cs="Times New Roman"/>
          <w:sz w:val="28"/>
          <w:szCs w:val="28"/>
        </w:rPr>
        <w:t xml:space="preserve">. </w:t>
      </w:r>
    </w:p>
    <w:p w:rsidR="00CD535E" w:rsidRPr="00CD535E" w:rsidRDefault="00CD535E" w:rsidP="00CD535E">
      <w:pPr>
        <w:spacing w:after="0" w:line="240" w:lineRule="auto"/>
        <w:ind w:firstLine="708"/>
        <w:jc w:val="both"/>
        <w:rPr>
          <w:rFonts w:ascii="Times New Roman" w:eastAsia="Times New Roman" w:hAnsi="Times New Roman" w:cs="Times New Roman"/>
          <w:sz w:val="28"/>
          <w:szCs w:val="28"/>
        </w:rPr>
      </w:pPr>
    </w:p>
    <w:p w:rsidR="00CD535E" w:rsidRPr="00CD535E" w:rsidRDefault="00CD535E" w:rsidP="00CD535E">
      <w:pPr>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CD535E">
        <w:rPr>
          <w:rFonts w:ascii="Times New Roman" w:eastAsia="Times New Roman" w:hAnsi="Times New Roman" w:cs="Times New Roman"/>
          <w:b/>
          <w:color w:val="000000"/>
          <w:sz w:val="28"/>
          <w:szCs w:val="28"/>
          <w:lang w:val="en-US"/>
        </w:rPr>
        <w:t>III</w:t>
      </w:r>
      <w:r w:rsidRPr="00CD535E">
        <w:rPr>
          <w:rFonts w:ascii="Times New Roman" w:eastAsia="Times New Roman" w:hAnsi="Times New Roman" w:cs="Times New Roman"/>
          <w:b/>
          <w:color w:val="000000"/>
          <w:sz w:val="28"/>
          <w:szCs w:val="28"/>
        </w:rPr>
        <w:t>. Требования, предъявляемые к архитектурно-дизайнерскому</w:t>
      </w:r>
    </w:p>
    <w:p w:rsidR="00CD535E" w:rsidRPr="00CD535E" w:rsidRDefault="00CD535E" w:rsidP="00CD535E">
      <w:pPr>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CD535E">
        <w:rPr>
          <w:rFonts w:ascii="Times New Roman" w:eastAsia="Times New Roman" w:hAnsi="Times New Roman" w:cs="Times New Roman"/>
          <w:b/>
          <w:color w:val="000000"/>
          <w:sz w:val="28"/>
          <w:szCs w:val="28"/>
        </w:rPr>
        <w:t xml:space="preserve"> решению ТОК</w:t>
      </w:r>
    </w:p>
    <w:p w:rsidR="00CD535E" w:rsidRPr="00CD535E" w:rsidRDefault="00CD535E" w:rsidP="00CD535E">
      <w:pPr>
        <w:autoSpaceDE w:val="0"/>
        <w:autoSpaceDN w:val="0"/>
        <w:adjustRightInd w:val="0"/>
        <w:spacing w:after="0" w:line="240" w:lineRule="auto"/>
        <w:ind w:firstLine="851"/>
        <w:jc w:val="both"/>
        <w:rPr>
          <w:rFonts w:ascii="Times New Roman" w:eastAsia="Times New Roman" w:hAnsi="Times New Roman" w:cs="Times New Roman"/>
          <w:color w:val="000000"/>
          <w:sz w:val="28"/>
          <w:szCs w:val="28"/>
        </w:rPr>
      </w:pP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3.1. Целями настоящих требований являются: </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приведение внешнего вида ТОК в соответствие с современными эстетическими и культурными требованиями;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повышение уровня благоустройства и сохранение дизайна среды населенного пункта при размещении ТОК.</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lastRenderedPageBreak/>
        <w:t>3.2. Внешний вид ТОК должен отвечать современным архитектурно-художественным требованиям дизайна населенного пункта. Архитектурно-</w:t>
      </w:r>
      <w:proofErr w:type="gramStart"/>
      <w:r w:rsidRPr="00CD535E">
        <w:rPr>
          <w:rFonts w:ascii="Times New Roman" w:eastAsia="Times New Roman" w:hAnsi="Times New Roman" w:cs="Times New Roman"/>
          <w:color w:val="000000"/>
          <w:sz w:val="28"/>
          <w:szCs w:val="28"/>
        </w:rPr>
        <w:t>дизайнерское решение</w:t>
      </w:r>
      <w:proofErr w:type="gramEnd"/>
      <w:r w:rsidRPr="00CD535E">
        <w:rPr>
          <w:rFonts w:ascii="Times New Roman" w:eastAsia="Times New Roman" w:hAnsi="Times New Roman" w:cs="Times New Roman"/>
          <w:color w:val="000000"/>
          <w:sz w:val="28"/>
          <w:szCs w:val="28"/>
        </w:rPr>
        <w:t xml:space="preserve"> ТОК не должно противоречить существующей стилистике окружающей застройки и допускать хаотичности в оформлении.</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Цветовое решение и габариты ТОК варьируются в зависимости от его территориального размещения и сложившейся градостроительной ситуации. Габаритные размеры, конструктивное и цветовое решение ТОК не должны иметь существенные отличия в одном населенном пункте.</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На территории в границах исторической застройки населенного пункта ТОК должны соответствовать архитектурному стилю окружающей застройки. При размещении ТОК в границах исторической застройки его архитектурно-</w:t>
      </w:r>
      <w:proofErr w:type="gramStart"/>
      <w:r w:rsidRPr="00CD535E">
        <w:rPr>
          <w:rFonts w:ascii="Times New Roman" w:eastAsia="Times New Roman" w:hAnsi="Times New Roman" w:cs="Times New Roman"/>
          <w:color w:val="000000"/>
          <w:sz w:val="28"/>
          <w:szCs w:val="28"/>
        </w:rPr>
        <w:t>дизайнерское решение</w:t>
      </w:r>
      <w:proofErr w:type="gramEnd"/>
      <w:r w:rsidRPr="00CD535E">
        <w:rPr>
          <w:rFonts w:ascii="Times New Roman" w:eastAsia="Times New Roman" w:hAnsi="Times New Roman" w:cs="Times New Roman"/>
          <w:color w:val="000000"/>
          <w:sz w:val="28"/>
          <w:szCs w:val="28"/>
        </w:rPr>
        <w:t xml:space="preserve"> должно рассматриваться на заседаниях архитектурно-градостроительных советов при администрациях городов и/или районов Луганской Народной Республики (далее – администрация).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3.3. Входы в ТОК должны обеспечивать безопасность дорожного движения, а также должны быть адаптированы для маломобильных групп населения; основные пути передвижения по территории, прилегающей к входу, должны соответствовать требованиям по обеспечению доступности маломобильных групп населения.</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3.4. Для обеспечения модульности необходимо использовать размерные шаги: 1000 х </w:t>
      </w:r>
      <w:smartTag w:uri="urn:schemas-microsoft-com:office:smarttags" w:element="metricconverter">
        <w:smartTagPr>
          <w:attr w:name="ProductID" w:val="1000 мм"/>
        </w:smartTagPr>
        <w:r w:rsidRPr="00CD535E">
          <w:rPr>
            <w:rFonts w:ascii="Times New Roman" w:eastAsia="Times New Roman" w:hAnsi="Times New Roman" w:cs="Times New Roman"/>
            <w:color w:val="000000"/>
            <w:sz w:val="28"/>
            <w:szCs w:val="28"/>
          </w:rPr>
          <w:t>1000 мм</w:t>
        </w:r>
      </w:smartTag>
      <w:r w:rsidRPr="00CD535E">
        <w:rPr>
          <w:rFonts w:ascii="Times New Roman" w:eastAsia="Times New Roman" w:hAnsi="Times New Roman" w:cs="Times New Roman"/>
          <w:color w:val="000000"/>
          <w:sz w:val="28"/>
          <w:szCs w:val="28"/>
        </w:rPr>
        <w:t xml:space="preserve">, 1000 х </w:t>
      </w:r>
      <w:smartTag w:uri="urn:schemas-microsoft-com:office:smarttags" w:element="metricconverter">
        <w:smartTagPr>
          <w:attr w:name="ProductID" w:val="1500 мм"/>
        </w:smartTagPr>
        <w:r w:rsidRPr="00CD535E">
          <w:rPr>
            <w:rFonts w:ascii="Times New Roman" w:eastAsia="Times New Roman" w:hAnsi="Times New Roman" w:cs="Times New Roman"/>
            <w:color w:val="000000"/>
            <w:sz w:val="28"/>
            <w:szCs w:val="28"/>
          </w:rPr>
          <w:t>1500 мм</w:t>
        </w:r>
      </w:smartTag>
      <w:r w:rsidRPr="00CD535E">
        <w:rPr>
          <w:rFonts w:ascii="Times New Roman" w:eastAsia="Times New Roman" w:hAnsi="Times New Roman" w:cs="Times New Roman"/>
          <w:color w:val="000000"/>
          <w:sz w:val="28"/>
          <w:szCs w:val="28"/>
        </w:rPr>
        <w:t xml:space="preserve">, 1500 х </w:t>
      </w:r>
      <w:smartTag w:uri="urn:schemas-microsoft-com:office:smarttags" w:element="metricconverter">
        <w:smartTagPr>
          <w:attr w:name="ProductID" w:val="2000 мм"/>
        </w:smartTagPr>
        <w:r w:rsidRPr="00CD535E">
          <w:rPr>
            <w:rFonts w:ascii="Times New Roman" w:eastAsia="Times New Roman" w:hAnsi="Times New Roman" w:cs="Times New Roman"/>
            <w:color w:val="000000"/>
            <w:sz w:val="28"/>
            <w:szCs w:val="28"/>
          </w:rPr>
          <w:t>2000 мм</w:t>
        </w:r>
      </w:smartTag>
      <w:r w:rsidRPr="00CD535E">
        <w:rPr>
          <w:rFonts w:ascii="Times New Roman" w:eastAsia="Times New Roman" w:hAnsi="Times New Roman" w:cs="Times New Roman"/>
          <w:color w:val="000000"/>
          <w:sz w:val="28"/>
          <w:szCs w:val="28"/>
        </w:rPr>
        <w:t xml:space="preserve">. Высота объектов не должна превышать </w:t>
      </w:r>
      <w:smartTag w:uri="urn:schemas-microsoft-com:office:smarttags" w:element="metricconverter">
        <w:smartTagPr>
          <w:attr w:name="ProductID" w:val="3000 мм"/>
        </w:smartTagPr>
        <w:r w:rsidRPr="00CD535E">
          <w:rPr>
            <w:rFonts w:ascii="Times New Roman" w:eastAsia="Times New Roman" w:hAnsi="Times New Roman" w:cs="Times New Roman"/>
            <w:color w:val="000000"/>
            <w:sz w:val="28"/>
            <w:szCs w:val="28"/>
          </w:rPr>
          <w:t>3000 мм</w:t>
        </w:r>
      </w:smartTag>
      <w:r w:rsidRPr="00CD535E">
        <w:rPr>
          <w:rFonts w:ascii="Times New Roman" w:eastAsia="Times New Roman" w:hAnsi="Times New Roman" w:cs="Times New Roman"/>
          <w:color w:val="000000"/>
          <w:sz w:val="28"/>
          <w:szCs w:val="28"/>
        </w:rPr>
        <w:t xml:space="preserve">. Высота остановочного навеса не должна превышать </w:t>
      </w:r>
      <w:smartTag w:uri="urn:schemas-microsoft-com:office:smarttags" w:element="metricconverter">
        <w:smartTagPr>
          <w:attr w:name="ProductID" w:val="3500 мм"/>
        </w:smartTagPr>
        <w:r w:rsidRPr="00CD535E">
          <w:rPr>
            <w:rFonts w:ascii="Times New Roman" w:eastAsia="Times New Roman" w:hAnsi="Times New Roman" w:cs="Times New Roman"/>
            <w:color w:val="000000"/>
            <w:sz w:val="28"/>
            <w:szCs w:val="28"/>
          </w:rPr>
          <w:t>3500 мм</w:t>
        </w:r>
      </w:smartTag>
      <w:r w:rsidRPr="00CD535E">
        <w:rPr>
          <w:rFonts w:ascii="Times New Roman" w:eastAsia="Times New Roman" w:hAnsi="Times New Roman" w:cs="Times New Roman"/>
          <w:color w:val="000000"/>
          <w:sz w:val="28"/>
          <w:szCs w:val="28"/>
        </w:rPr>
        <w:t xml:space="preserve">.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3.5. Для изготовления ТОК и их отделки применяются любые современные материалы. Предпочтение следует отдавать легким металлическим конструкциям с остеклением из антивандального стекла (простого или тонированного). Допускается использование других материалов, имеющих качественную и прочную окраску, отделку. Остекление павильона ожидания общественного транспорта и торгового объекта производится из </w:t>
      </w:r>
      <w:proofErr w:type="spellStart"/>
      <w:r w:rsidRPr="00CD535E">
        <w:rPr>
          <w:rFonts w:ascii="Times New Roman" w:eastAsia="Times New Roman" w:hAnsi="Times New Roman" w:cs="Times New Roman"/>
          <w:sz w:val="28"/>
          <w:szCs w:val="28"/>
        </w:rPr>
        <w:t>травмобезопасного</w:t>
      </w:r>
      <w:proofErr w:type="spellEnd"/>
      <w:r w:rsidRPr="00CD535E">
        <w:rPr>
          <w:rFonts w:ascii="Times New Roman" w:eastAsia="Times New Roman" w:hAnsi="Times New Roman" w:cs="Times New Roman"/>
          <w:sz w:val="28"/>
          <w:szCs w:val="28"/>
        </w:rPr>
        <w:t>, безосколочного материала.</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Допускается применение </w:t>
      </w:r>
      <w:proofErr w:type="gramStart"/>
      <w:r w:rsidRPr="00CD535E">
        <w:rPr>
          <w:rFonts w:ascii="Times New Roman" w:eastAsia="Times New Roman" w:hAnsi="Times New Roman" w:cs="Times New Roman"/>
          <w:color w:val="000000"/>
          <w:sz w:val="28"/>
          <w:szCs w:val="28"/>
        </w:rPr>
        <w:t>сэндвич-панелей</w:t>
      </w:r>
      <w:proofErr w:type="gramEnd"/>
      <w:r w:rsidRPr="00CD535E">
        <w:rPr>
          <w:rFonts w:ascii="Times New Roman" w:eastAsia="Times New Roman" w:hAnsi="Times New Roman" w:cs="Times New Roman"/>
          <w:color w:val="000000"/>
          <w:sz w:val="28"/>
          <w:szCs w:val="28"/>
        </w:rPr>
        <w:t xml:space="preserve">, композитных панелей с различной текстурой и фактурной поверхностью. </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Не допускается применение кирпича, блоков, </w:t>
      </w:r>
      <w:proofErr w:type="spellStart"/>
      <w:r w:rsidRPr="00CD535E">
        <w:rPr>
          <w:rFonts w:ascii="Times New Roman" w:eastAsia="Times New Roman" w:hAnsi="Times New Roman" w:cs="Times New Roman"/>
          <w:color w:val="000000"/>
          <w:sz w:val="28"/>
          <w:szCs w:val="28"/>
        </w:rPr>
        <w:t>сайдинга</w:t>
      </w:r>
      <w:proofErr w:type="spellEnd"/>
      <w:r w:rsidRPr="00CD535E">
        <w:rPr>
          <w:rFonts w:ascii="Times New Roman" w:eastAsia="Times New Roman" w:hAnsi="Times New Roman" w:cs="Times New Roman"/>
          <w:color w:val="000000"/>
          <w:sz w:val="28"/>
          <w:szCs w:val="28"/>
        </w:rPr>
        <w:t xml:space="preserve">, рулонной и шиферной кровли, бетонных фундаментов.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 </w:t>
      </w:r>
    </w:p>
    <w:p w:rsidR="00CD535E" w:rsidRPr="00CD535E" w:rsidRDefault="00CD535E" w:rsidP="00CD535E">
      <w:pPr>
        <w:spacing w:after="0" w:line="240" w:lineRule="auto"/>
        <w:jc w:val="center"/>
        <w:rPr>
          <w:rFonts w:ascii="Times New Roman" w:eastAsia="Times New Roman" w:hAnsi="Times New Roman" w:cs="Times New Roman"/>
          <w:b/>
          <w:sz w:val="28"/>
          <w:szCs w:val="28"/>
        </w:rPr>
      </w:pPr>
      <w:r w:rsidRPr="00CD535E">
        <w:rPr>
          <w:rFonts w:ascii="Times New Roman" w:eastAsia="Times New Roman" w:hAnsi="Times New Roman" w:cs="Times New Roman"/>
          <w:b/>
          <w:sz w:val="28"/>
          <w:szCs w:val="28"/>
          <w:lang w:val="en-US"/>
        </w:rPr>
        <w:t>IV</w:t>
      </w:r>
      <w:r w:rsidRPr="00CD535E">
        <w:rPr>
          <w:rFonts w:ascii="Times New Roman" w:eastAsia="Times New Roman" w:hAnsi="Times New Roman" w:cs="Times New Roman"/>
          <w:b/>
          <w:sz w:val="28"/>
          <w:szCs w:val="28"/>
        </w:rPr>
        <w:t>. Порядок получения паспорта привязки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4.1. Заказчик, который намерен установить ТОК, обращается в соответствующую администрацию с заявлением в произвольной форме о возможности размещения ТОК.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lastRenderedPageBreak/>
        <w:t>4.2. К заявлению прилагаются: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генеральный план размещения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актуальное цветное фото внешнего вида ТОК (в случае наличия установленного ранее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эскиз намерений (</w:t>
      </w:r>
      <w:proofErr w:type="spellStart"/>
      <w:r w:rsidRPr="00CD535E">
        <w:rPr>
          <w:rFonts w:ascii="Times New Roman" w:eastAsia="Times New Roman" w:hAnsi="Times New Roman" w:cs="Times New Roman"/>
          <w:sz w:val="28"/>
          <w:szCs w:val="28"/>
        </w:rPr>
        <w:t>предпроектная</w:t>
      </w:r>
      <w:proofErr w:type="spellEnd"/>
      <w:r w:rsidRPr="00CD535E">
        <w:rPr>
          <w:rFonts w:ascii="Times New Roman" w:eastAsia="Times New Roman" w:hAnsi="Times New Roman" w:cs="Times New Roman"/>
          <w:sz w:val="28"/>
          <w:szCs w:val="28"/>
        </w:rPr>
        <w:t xml:space="preserve"> проработка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реквизиты заказчика (наименование, Ф. И. О., адрес, контактная информация);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копия свидетельства о государственной регистрации субъекта хозяйственной деятельности с обязательным предъявлением оригинала свидетельства о государственной регистрации субъекта хозяйственной деятельности.</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4.3. Соответствие места расположения ТОК действующим нормам и правилам, градостроительной документации и возможность размещения ТОК определяет администрация в течение 14 рабочих дней со дня подачи заявления в произвольной форме и прилагаемых материалов.</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4.4. О соответствии места расположения ТОК действующим нормам и правилам, градостроительной документации и возможности размещения ТОК заказчик письменно уведомляется администрацией в течение 5 рабочих дней со дня принятия соответствующего аргументированного решения.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4.5. После получения согласия на размещение ТОК заказчик за собственные средства изготавливает паспорт привязки ТОК путем обращения к субъекту хозяйственной деятельности, который получил лицензию (специальное разрешение) на осуществление строительной деятельности – проектирование объектов архитектуры (далее – разработчик паспорта привязки ТОК).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4.6. Паспорт привязки ТОК выполняется на топографо-геодезической съемке в масштабе М 1:500 в соответствии с действующими нормами и правилами, градостроительной и проектной документацией, утвержденной в установленном законодательством порядке.</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4.7. Для подготовки паспорта привязки ТОК градостроительные условия и ограничения застройки земельного участка не предоставляются.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4.8. Паспорт привязки ТОК включает:</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ситуационный план в масштабе М 1:2000 или масштабе М 1:5000;</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генеральный план размещения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схему благоустройства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схему организации дорожного движения, согласованную с УГИБДД МВД ЛНР;</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эскиз плана ТОК в масштабе М 1:50;</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lastRenderedPageBreak/>
        <w:t>эскиз характерного разреза  в масштабе М 1:50;</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эскизы фасадов ТОК (цветовое решение с указанием материалов наружной отделки) в масштабе М 1:50;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 аксонометрическое изображение (перспективный чертеж) в существующей застройке;</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текстовую информацию (пояснительную записку);</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реквизиты заказчика (наименование, Ф. И. О., адрес, контактная информация).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4.9. Паспорт привязки ТОК подлежит утверждению в администрации.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4.10. Для утверждения паспорта привязки ТОК заказчик предоставляет в администрацию четыре экземпляра паспорта привязки ТОК, один из которых после утверждения остается в администрации, а три отдаются заказчику.</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4.11. Основанием для отказа в утверждении паспорта привязки ТОК является подача неполных или недостоверных данных, определенных пунктом 4.8 этого раздела.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4.12. Паспорт привязки ТОК регистрируется в администрации в журнале регистрации паспортов привязки ТОК или в электронном журнале, которые оформляются согласно приложению № 2 к настоящему Порядку, с дальнейшим внесением информации о ТОК в градостроительный кадастр.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4.13. В случае необходимости при утрате заказчиком оригинала паспорта привязки ТОК его копия предоставляется администрацией на бесплатной основе в течение 14 рабочих дней со дня регистрации заявления о выдаче копии паспорта привязки ТОК, подаваемого в произвольной форме.</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4.14. Срок действия паспорта привязки ТОК устанавливается по заявлению заказчика и не должен превышать пяти лет с момента  государственной регистрации права на землю.</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 Продление срока действия паспорта привязки ТОК осуществляется по заявлению заказчика, которое он подает в соответствующую администрацию в произвольной форме не </w:t>
      </w:r>
      <w:proofErr w:type="gramStart"/>
      <w:r w:rsidRPr="00CD535E">
        <w:rPr>
          <w:rFonts w:ascii="Times New Roman" w:eastAsia="Times New Roman" w:hAnsi="Times New Roman" w:cs="Times New Roman"/>
          <w:sz w:val="28"/>
          <w:szCs w:val="28"/>
        </w:rPr>
        <w:t>позднее</w:t>
      </w:r>
      <w:proofErr w:type="gramEnd"/>
      <w:r w:rsidRPr="00CD535E">
        <w:rPr>
          <w:rFonts w:ascii="Times New Roman" w:eastAsia="Times New Roman" w:hAnsi="Times New Roman" w:cs="Times New Roman"/>
          <w:sz w:val="28"/>
          <w:szCs w:val="28"/>
        </w:rPr>
        <w:t xml:space="preserve"> чем за два месяца до истечения срока его действия. К заявлению прилагается оригинал паспорта привязки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4.15. В случае изменений, которые произошли в градостроительной документации, строительных нормах, расположении зданий и сооружений, инженерных сетей или по инициативе заказчика, паспорт привязки ТОК может быть переоформлен на срок действия этого паспорта или на новый срок в соответствии с настоящим Порядком.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lastRenderedPageBreak/>
        <w:t>4.16. Предоставление земельного участка для размещения ТОК осуществляется в соответствии с действующим законодательством Луганской Народной Республики после утверждения паспорта привязки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4.17. Установка ТОК осуществляется в соответствии с паспортом привязки ТОК после государственной регистрации права на землю.</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После установки ТОК заказчик обязан проинформировать администрацию о выполнении в полном объеме требований паспорта привязки ТОК (приложение № 3).</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4.18. Отклонение от паспорта привязки ТОК не допускается.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4.19. Выполнение заказчиком работ по благоустройству прилегающей </w:t>
      </w:r>
      <w:proofErr w:type="gramStart"/>
      <w:r w:rsidRPr="00CD535E">
        <w:rPr>
          <w:rFonts w:ascii="Times New Roman" w:eastAsia="Times New Roman" w:hAnsi="Times New Roman" w:cs="Times New Roman"/>
          <w:sz w:val="28"/>
          <w:szCs w:val="28"/>
        </w:rPr>
        <w:t>к</w:t>
      </w:r>
      <w:proofErr w:type="gramEnd"/>
      <w:r w:rsidRPr="00CD535E">
        <w:rPr>
          <w:rFonts w:ascii="Times New Roman" w:eastAsia="Times New Roman" w:hAnsi="Times New Roman" w:cs="Times New Roman"/>
          <w:sz w:val="28"/>
          <w:szCs w:val="28"/>
        </w:rPr>
        <w:t> </w:t>
      </w:r>
      <w:proofErr w:type="gramStart"/>
      <w:r w:rsidRPr="00CD535E">
        <w:rPr>
          <w:rFonts w:ascii="Times New Roman" w:eastAsia="Times New Roman" w:hAnsi="Times New Roman" w:cs="Times New Roman"/>
          <w:sz w:val="28"/>
          <w:szCs w:val="28"/>
        </w:rPr>
        <w:t>ТОК</w:t>
      </w:r>
      <w:proofErr w:type="gramEnd"/>
      <w:r w:rsidRPr="00CD535E">
        <w:rPr>
          <w:rFonts w:ascii="Times New Roman" w:eastAsia="Times New Roman" w:hAnsi="Times New Roman" w:cs="Times New Roman"/>
          <w:sz w:val="28"/>
          <w:szCs w:val="28"/>
        </w:rPr>
        <w:t xml:space="preserve"> территории после его установки или демонтажа является обязательным.</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4.20. Действие паспорта привязки ТОК приостанавливается в случаях:</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необходимости проведения плановых ремонтных работ на земельном участке, на котором размещен ТОК, – с обязательным предупреждением администрацией собственника ТОК за 1 месяц;</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необходимости проведения аварийных ремонтных работ на земельном участке, на котором размещен ТОК, – без предупреждения.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4.21. Основаниями для возобновления действия паспорта привязки ТОК является завершение плановых или аварийных ремонтных работ.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4.22. Действие паспорта привязки ТОК аннулируется в случаях:</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несоблюдения требований паспорта привязки ТОК при размещении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если ТОК не был установлен в течение 6 месяцев </w:t>
      </w:r>
      <w:proofErr w:type="gramStart"/>
      <w:r w:rsidRPr="00CD535E">
        <w:rPr>
          <w:rFonts w:ascii="Times New Roman" w:eastAsia="Times New Roman" w:hAnsi="Times New Roman" w:cs="Times New Roman"/>
          <w:sz w:val="28"/>
          <w:szCs w:val="28"/>
        </w:rPr>
        <w:t>с даты</w:t>
      </w:r>
      <w:proofErr w:type="gramEnd"/>
      <w:r w:rsidRPr="00CD535E">
        <w:rPr>
          <w:rFonts w:ascii="Times New Roman" w:eastAsia="Times New Roman" w:hAnsi="Times New Roman" w:cs="Times New Roman"/>
          <w:sz w:val="28"/>
          <w:szCs w:val="28"/>
        </w:rPr>
        <w:t xml:space="preserve"> государственной регистрации права на землю;</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обнаружения недостоверных сведений в документах, указанных в пунктах 4.2 и 4.8 данного раздела;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наличия соответствующего решения суда;</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прекращения деятельности субъекта хозяйствования, смерти физического лица-предпринимателя;</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невыполнения заказчиком мероприятий по благоустройству согласно схеме благоустройства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4.23. В случае окончания срока действия, аннулирования паспорта привязки ТОК, самовольного установления ТОК такой ТОК подлежит сносу (демонтажу) согласно Порядку сноса (демонтажа) самовольно установленных или незаконно размещенных нестационарных объектов в пределах населенных пунктов (сел, поселков, городов) Луганской Народной Республики, утвержденному постановлением Совета Министров Луганской Народной Республики от 25.10.2016 № 599.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4.24. Размещение ТОК самовольно запрещается.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4.25. В </w:t>
      </w:r>
      <w:proofErr w:type="gramStart"/>
      <w:r w:rsidRPr="00CD535E">
        <w:rPr>
          <w:rFonts w:ascii="Times New Roman" w:eastAsia="Times New Roman" w:hAnsi="Times New Roman" w:cs="Times New Roman"/>
          <w:sz w:val="28"/>
          <w:szCs w:val="28"/>
        </w:rPr>
        <w:t>случае</w:t>
      </w:r>
      <w:proofErr w:type="gramEnd"/>
      <w:r w:rsidRPr="00CD535E">
        <w:rPr>
          <w:rFonts w:ascii="Times New Roman" w:eastAsia="Times New Roman" w:hAnsi="Times New Roman" w:cs="Times New Roman"/>
          <w:sz w:val="28"/>
          <w:szCs w:val="28"/>
        </w:rPr>
        <w:t xml:space="preserve"> когда собственник (пользователь) намеревается изменить внешний вид ТОК, он обращается в администрацию с письменным заявлением в произвольной форме относительно внесения изменений в паспорт привязки ТОК в части эскизов фасадов. </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Администрация рассматривает новые эскизы фасадов ТОК на протяжении 14 рабочих дней со дня предоставления такого заявления и при отсутствии замечаний согласовывает новые эскизы фасадов ТОК, которые прилагаются к паспорту привязки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4.26. Режим работы ТОК устанавливается заказчиком в соответствии с законодательством Луганской Народной Республики. </w:t>
      </w:r>
    </w:p>
    <w:p w:rsidR="00CD535E" w:rsidRPr="00CD535E" w:rsidRDefault="00CD535E" w:rsidP="00CD535E">
      <w:pPr>
        <w:spacing w:after="0" w:line="240" w:lineRule="auto"/>
        <w:ind w:firstLine="709"/>
        <w:jc w:val="both"/>
        <w:rPr>
          <w:rFonts w:ascii="Times New Roman" w:eastAsia="Times New Roman" w:hAnsi="Times New Roman" w:cs="Times New Roman"/>
          <w:b/>
          <w:sz w:val="28"/>
          <w:szCs w:val="28"/>
        </w:rPr>
      </w:pPr>
    </w:p>
    <w:p w:rsidR="00CD535E" w:rsidRPr="00CD535E" w:rsidRDefault="00CD535E" w:rsidP="00CD535E">
      <w:pPr>
        <w:spacing w:after="0" w:line="240" w:lineRule="auto"/>
        <w:jc w:val="center"/>
        <w:rPr>
          <w:rFonts w:ascii="Times New Roman" w:eastAsia="Times New Roman" w:hAnsi="Times New Roman" w:cs="Times New Roman"/>
          <w:b/>
          <w:sz w:val="28"/>
          <w:szCs w:val="28"/>
        </w:rPr>
      </w:pPr>
      <w:r w:rsidRPr="00CD535E">
        <w:rPr>
          <w:rFonts w:ascii="Times New Roman" w:eastAsia="Times New Roman" w:hAnsi="Times New Roman" w:cs="Times New Roman"/>
          <w:b/>
          <w:sz w:val="28"/>
          <w:szCs w:val="28"/>
          <w:lang w:val="en-US"/>
        </w:rPr>
        <w:t>V</w:t>
      </w:r>
      <w:r w:rsidRPr="00CD535E">
        <w:rPr>
          <w:rFonts w:ascii="Times New Roman" w:eastAsia="Times New Roman" w:hAnsi="Times New Roman" w:cs="Times New Roman"/>
          <w:b/>
          <w:sz w:val="28"/>
          <w:szCs w:val="28"/>
        </w:rPr>
        <w:t>. Требования к содержанию торгово-остановочных комплексов</w:t>
      </w:r>
    </w:p>
    <w:p w:rsidR="00CD535E" w:rsidRPr="00CD535E" w:rsidRDefault="00CD535E" w:rsidP="00CD535E">
      <w:pPr>
        <w:spacing w:after="0" w:line="240" w:lineRule="auto"/>
        <w:ind w:firstLine="709"/>
        <w:jc w:val="both"/>
        <w:rPr>
          <w:rFonts w:ascii="Calibri" w:eastAsia="Times New Roman" w:hAnsi="Calibri" w:cs="Times New Roman"/>
          <w:sz w:val="28"/>
          <w:szCs w:val="28"/>
        </w:rPr>
      </w:pP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5.1. </w:t>
      </w:r>
      <w:proofErr w:type="gramStart"/>
      <w:r w:rsidRPr="00CD535E">
        <w:rPr>
          <w:rFonts w:ascii="Times New Roman" w:eastAsia="Times New Roman" w:hAnsi="Times New Roman" w:cs="Times New Roman"/>
          <w:color w:val="000000"/>
          <w:sz w:val="28"/>
          <w:szCs w:val="28"/>
        </w:rPr>
        <w:t xml:space="preserve">ТОК и прилегающая к ним территория должны постоянно находиться в надлежащем санитарно-техническом состоянии </w:t>
      </w:r>
      <w:r w:rsidRPr="00CD535E">
        <w:rPr>
          <w:rFonts w:ascii="Times New Roman" w:eastAsia="Times New Roman" w:hAnsi="Times New Roman" w:cs="Times New Roman"/>
          <w:sz w:val="28"/>
          <w:szCs w:val="28"/>
        </w:rPr>
        <w:t>в соответствии с действующем законодательством.</w:t>
      </w:r>
      <w:proofErr w:type="gramEnd"/>
      <w:r w:rsidRPr="00CD535E">
        <w:rPr>
          <w:rFonts w:ascii="Times New Roman" w:eastAsia="Times New Roman" w:hAnsi="Times New Roman" w:cs="Times New Roman"/>
          <w:sz w:val="28"/>
          <w:szCs w:val="28"/>
        </w:rPr>
        <w:t xml:space="preserve"> </w:t>
      </w:r>
      <w:r w:rsidRPr="00CD535E">
        <w:rPr>
          <w:rFonts w:ascii="Times New Roman" w:eastAsia="Times New Roman" w:hAnsi="Times New Roman" w:cs="Times New Roman"/>
          <w:color w:val="000000"/>
          <w:sz w:val="28"/>
          <w:szCs w:val="28"/>
        </w:rPr>
        <w:t xml:space="preserve">Обеспечение своевременной окраски и устранения повреждений в остеклении, вывесках, конструктивных элементах фасадов </w:t>
      </w:r>
      <w:proofErr w:type="gramStart"/>
      <w:r w:rsidRPr="00CD535E">
        <w:rPr>
          <w:rFonts w:ascii="Times New Roman" w:eastAsia="Times New Roman" w:hAnsi="Times New Roman" w:cs="Times New Roman"/>
          <w:color w:val="000000"/>
          <w:sz w:val="28"/>
          <w:szCs w:val="28"/>
        </w:rPr>
        <w:t>должна</w:t>
      </w:r>
      <w:proofErr w:type="gramEnd"/>
      <w:r w:rsidRPr="00CD535E">
        <w:rPr>
          <w:rFonts w:ascii="Times New Roman" w:eastAsia="Times New Roman" w:hAnsi="Times New Roman" w:cs="Times New Roman"/>
          <w:color w:val="000000"/>
          <w:sz w:val="28"/>
          <w:szCs w:val="28"/>
        </w:rPr>
        <w:t xml:space="preserve"> осуществляется собственником ТОК. </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5.2.  В зимнее время территория, прилегающая </w:t>
      </w:r>
      <w:proofErr w:type="gramStart"/>
      <w:r w:rsidRPr="00CD535E">
        <w:rPr>
          <w:rFonts w:ascii="Times New Roman" w:eastAsia="Times New Roman" w:hAnsi="Times New Roman" w:cs="Times New Roman"/>
          <w:color w:val="000000"/>
          <w:sz w:val="28"/>
          <w:szCs w:val="28"/>
        </w:rPr>
        <w:t>к</w:t>
      </w:r>
      <w:proofErr w:type="gramEnd"/>
      <w:r w:rsidRPr="00CD535E">
        <w:rPr>
          <w:rFonts w:ascii="Times New Roman" w:eastAsia="Times New Roman" w:hAnsi="Times New Roman" w:cs="Times New Roman"/>
          <w:color w:val="000000"/>
          <w:sz w:val="28"/>
          <w:szCs w:val="28"/>
        </w:rPr>
        <w:t xml:space="preserve"> ТОК, должна быть очищена от снега и обработана противоскользящим материалом. </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На территории, прилегающей </w:t>
      </w:r>
      <w:proofErr w:type="gramStart"/>
      <w:r w:rsidRPr="00CD535E">
        <w:rPr>
          <w:rFonts w:ascii="Times New Roman" w:eastAsia="Times New Roman" w:hAnsi="Times New Roman" w:cs="Times New Roman"/>
          <w:color w:val="000000"/>
          <w:sz w:val="28"/>
          <w:szCs w:val="28"/>
        </w:rPr>
        <w:t>к</w:t>
      </w:r>
      <w:proofErr w:type="gramEnd"/>
      <w:r w:rsidRPr="00CD535E">
        <w:rPr>
          <w:rFonts w:ascii="Times New Roman" w:eastAsia="Times New Roman" w:hAnsi="Times New Roman" w:cs="Times New Roman"/>
          <w:color w:val="000000"/>
          <w:sz w:val="28"/>
          <w:szCs w:val="28"/>
        </w:rPr>
        <w:t xml:space="preserve"> ТОК, на его крыше не допускается складирование тары и твердых бытовых отходов. </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 xml:space="preserve">Владельцы ТОК, нанесшие ущерб прилегающим объектам благоустройства, зеленым насаждениям, газонам, обязаны восстановить объекты благоустройства за счет собственных средств. </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D535E">
        <w:rPr>
          <w:rFonts w:ascii="Times New Roman" w:eastAsia="Times New Roman" w:hAnsi="Times New Roman" w:cs="Times New Roman"/>
          <w:color w:val="000000"/>
          <w:sz w:val="28"/>
          <w:szCs w:val="28"/>
        </w:rPr>
        <w:t>5.3. Запрещается размещать объявления, информационно-агитационные материалы, рекламу на ТОК в непредусмотренных для этого местах.</w:t>
      </w:r>
    </w:p>
    <w:p w:rsidR="00CD535E" w:rsidRPr="00CD535E" w:rsidRDefault="00CD535E" w:rsidP="00CD535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5.4. Территория, занимаемая ТОК, а также прилегающая территория должны быть благоустроены в соответствии со схемой благоустройства ТОК.</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5.5. Собственники ТОК обязаны обеспечивать вывоз отходов путем заключения договоров с соответствующими субъектами хозяйствования, имеющими право оказывать данные услуги.</w:t>
      </w:r>
    </w:p>
    <w:p w:rsidR="00CD535E" w:rsidRPr="00CD535E" w:rsidRDefault="00CD535E" w:rsidP="00CD535E">
      <w:pPr>
        <w:spacing w:after="0" w:line="240" w:lineRule="auto"/>
        <w:ind w:firstLine="709"/>
        <w:jc w:val="both"/>
        <w:rPr>
          <w:rFonts w:ascii="Times New Roman" w:eastAsia="Times New Roman" w:hAnsi="Times New Roman" w:cs="Times New Roman"/>
          <w:sz w:val="28"/>
          <w:szCs w:val="28"/>
        </w:rPr>
      </w:pPr>
    </w:p>
    <w:p w:rsidR="00CD535E" w:rsidRPr="00CD535E" w:rsidRDefault="00CD535E" w:rsidP="00CD535E">
      <w:pPr>
        <w:spacing w:after="0" w:line="240" w:lineRule="auto"/>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Руководитель </w:t>
      </w:r>
    </w:p>
    <w:p w:rsidR="00CD535E" w:rsidRPr="00CD535E" w:rsidRDefault="00CD535E" w:rsidP="00CD535E">
      <w:pPr>
        <w:spacing w:after="0" w:line="240" w:lineRule="auto"/>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Аппарата Правительства </w:t>
      </w:r>
    </w:p>
    <w:p w:rsidR="00CD535E" w:rsidRPr="00CD535E" w:rsidRDefault="00CD535E" w:rsidP="008037FF">
      <w:pPr>
        <w:spacing w:after="0" w:line="240" w:lineRule="auto"/>
        <w:jc w:val="both"/>
        <w:rPr>
          <w:rFonts w:ascii="Times New Roman" w:eastAsia="Times New Roman" w:hAnsi="Times New Roman" w:cs="Times New Roman"/>
          <w:sz w:val="28"/>
          <w:szCs w:val="28"/>
        </w:rPr>
      </w:pPr>
      <w:r w:rsidRPr="00CD535E">
        <w:rPr>
          <w:rFonts w:ascii="Times New Roman" w:eastAsia="Times New Roman" w:hAnsi="Times New Roman" w:cs="Times New Roman"/>
          <w:sz w:val="28"/>
          <w:szCs w:val="28"/>
        </w:rPr>
        <w:t xml:space="preserve">Луганской Народной Республики                                                         А. И. </w:t>
      </w:r>
      <w:proofErr w:type="spellStart"/>
      <w:r w:rsidRPr="00CD535E">
        <w:rPr>
          <w:rFonts w:ascii="Times New Roman" w:eastAsia="Times New Roman" w:hAnsi="Times New Roman" w:cs="Times New Roman"/>
          <w:sz w:val="28"/>
          <w:szCs w:val="28"/>
        </w:rPr>
        <w:t>Сумцов</w:t>
      </w:r>
      <w:proofErr w:type="spellEnd"/>
      <w:r w:rsidRPr="00CD535E">
        <w:rPr>
          <w:rFonts w:ascii="Times New Roman" w:eastAsia="Times New Roman" w:hAnsi="Times New Roman" w:cs="Times New Roman"/>
          <w:sz w:val="28"/>
          <w:szCs w:val="28"/>
        </w:rPr>
        <w:t xml:space="preserve"> </w:t>
      </w:r>
      <w:bookmarkStart w:id="0" w:name="_GoBack"/>
      <w:bookmarkEnd w:id="0"/>
    </w:p>
    <w:sectPr w:rsidR="00CD535E" w:rsidRPr="00CD535E" w:rsidSect="004D1400">
      <w:headerReference w:type="default" r:id="rId7"/>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2E6" w:rsidRDefault="00AC12E6">
      <w:pPr>
        <w:spacing w:after="0" w:line="240" w:lineRule="auto"/>
      </w:pPr>
      <w:r>
        <w:separator/>
      </w:r>
    </w:p>
  </w:endnote>
  <w:endnote w:type="continuationSeparator" w:id="0">
    <w:p w:rsidR="00AC12E6" w:rsidRDefault="00AC1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2E6" w:rsidRDefault="00AC12E6">
      <w:pPr>
        <w:spacing w:after="0" w:line="240" w:lineRule="auto"/>
      </w:pPr>
      <w:r>
        <w:separator/>
      </w:r>
    </w:p>
  </w:footnote>
  <w:footnote w:type="continuationSeparator" w:id="0">
    <w:p w:rsidR="00AC12E6" w:rsidRDefault="00AC12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158" w:rsidRDefault="00866B34">
    <w:pPr>
      <w:pStyle w:val="a3"/>
      <w:jc w:val="center"/>
    </w:pPr>
    <w:r>
      <w:fldChar w:fldCharType="begin"/>
    </w:r>
    <w:r>
      <w:instrText xml:space="preserve"> PAGE   \* MERGEFORMAT </w:instrText>
    </w:r>
    <w:r>
      <w:fldChar w:fldCharType="separate"/>
    </w:r>
    <w:r w:rsidR="00164E0A">
      <w:rPr>
        <w:noProof/>
      </w:rPr>
      <w:t>9</w:t>
    </w:r>
    <w:r>
      <w:fldChar w:fldCharType="end"/>
    </w:r>
  </w:p>
  <w:p w:rsidR="00614158" w:rsidRDefault="00AC12E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D77"/>
    <w:rsid w:val="00045D50"/>
    <w:rsid w:val="00164E0A"/>
    <w:rsid w:val="001F1CB7"/>
    <w:rsid w:val="004D1400"/>
    <w:rsid w:val="006E0D77"/>
    <w:rsid w:val="00767E6B"/>
    <w:rsid w:val="008037FF"/>
    <w:rsid w:val="00866B34"/>
    <w:rsid w:val="008707F0"/>
    <w:rsid w:val="008D05A4"/>
    <w:rsid w:val="008F7B00"/>
    <w:rsid w:val="00AC12E6"/>
    <w:rsid w:val="00BC0953"/>
    <w:rsid w:val="00CD535E"/>
    <w:rsid w:val="00EC6C24"/>
    <w:rsid w:val="00FE1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6B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6B34"/>
  </w:style>
  <w:style w:type="character" w:styleId="a5">
    <w:name w:val="page number"/>
    <w:basedOn w:val="a0"/>
    <w:rsid w:val="00CD535E"/>
  </w:style>
  <w:style w:type="paragraph" w:styleId="a6">
    <w:name w:val="footer"/>
    <w:basedOn w:val="a"/>
    <w:link w:val="a7"/>
    <w:uiPriority w:val="99"/>
    <w:unhideWhenUsed/>
    <w:rsid w:val="00FE172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E17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6B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6B34"/>
  </w:style>
  <w:style w:type="character" w:styleId="a5">
    <w:name w:val="page number"/>
    <w:basedOn w:val="a0"/>
    <w:rsid w:val="00CD535E"/>
  </w:style>
  <w:style w:type="paragraph" w:styleId="a6">
    <w:name w:val="footer"/>
    <w:basedOn w:val="a"/>
    <w:link w:val="a7"/>
    <w:uiPriority w:val="99"/>
    <w:unhideWhenUsed/>
    <w:rsid w:val="00FE172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E1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2504</Words>
  <Characters>14276</Characters>
  <Application>Microsoft Office Word</Application>
  <DocSecurity>0</DocSecurity>
  <Lines>118</Lines>
  <Paragraphs>33</Paragraphs>
  <ScaleCrop>false</ScaleCrop>
  <Company/>
  <LinksUpToDate>false</LinksUpToDate>
  <CharactersWithSpaces>16747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user8210</dc:creator>
  <cp:keywords/>
  <dc:description/>
  <cp:lastModifiedBy>user8185</cp:lastModifiedBy>
  <cp:revision>10</cp:revision>
  <dcterms:created xsi:type="dcterms:W3CDTF">2020-09-09T08:25:00Z</dcterms:created>
  <dcterms:modified xsi:type="dcterms:W3CDTF">2020-10-02T13:41:00Z</dcterms:modified>
</cp:coreProperties>
</file>