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87" w:rsidRPr="00A97B21" w:rsidRDefault="007A7087" w:rsidP="007A7087">
      <w:pPr>
        <w:ind w:left="4860"/>
        <w:rPr>
          <w:rFonts w:ascii="Times New Roman" w:hAnsi="Times New Roman" w:cs="Times New Roman"/>
          <w:color w:val="auto"/>
          <w:sz w:val="28"/>
          <w:szCs w:val="28"/>
        </w:rPr>
      </w:pPr>
      <w:r w:rsidRPr="00A97B21">
        <w:rPr>
          <w:rFonts w:ascii="Times New Roman" w:hAnsi="Times New Roman" w:cs="Times New Roman"/>
          <w:color w:val="auto"/>
          <w:sz w:val="28"/>
          <w:szCs w:val="28"/>
        </w:rPr>
        <w:t>УТВЕРЖДЕНО</w:t>
      </w:r>
    </w:p>
    <w:p w:rsidR="007A7087" w:rsidRPr="00A97B21" w:rsidRDefault="007A7087" w:rsidP="007A7087">
      <w:pPr>
        <w:ind w:left="4860"/>
        <w:rPr>
          <w:rFonts w:ascii="Times New Roman" w:hAnsi="Times New Roman" w:cs="Times New Roman"/>
          <w:color w:val="auto"/>
          <w:sz w:val="28"/>
          <w:szCs w:val="28"/>
        </w:rPr>
      </w:pPr>
      <w:r w:rsidRPr="00A97B21">
        <w:rPr>
          <w:rFonts w:ascii="Times New Roman" w:hAnsi="Times New Roman" w:cs="Times New Roman"/>
          <w:color w:val="auto"/>
          <w:sz w:val="28"/>
          <w:szCs w:val="28"/>
        </w:rPr>
        <w:t>постановлением Совета Министров Луганской Народной Республики</w:t>
      </w:r>
    </w:p>
    <w:p w:rsidR="007A7087" w:rsidRPr="00A97B21" w:rsidRDefault="007A7087" w:rsidP="007A7087">
      <w:pPr>
        <w:ind w:left="4152"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97B21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E00009">
        <w:rPr>
          <w:rFonts w:ascii="Times New Roman" w:hAnsi="Times New Roman" w:cs="Times New Roman"/>
          <w:color w:val="auto"/>
          <w:sz w:val="28"/>
          <w:szCs w:val="28"/>
        </w:rPr>
        <w:t>05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E00009">
        <w:rPr>
          <w:rFonts w:ascii="Times New Roman" w:hAnsi="Times New Roman" w:cs="Times New Roman"/>
          <w:color w:val="auto"/>
          <w:sz w:val="28"/>
          <w:szCs w:val="28"/>
        </w:rPr>
        <w:t>июня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2018 года №</w:t>
      </w:r>
      <w:r w:rsidR="00E000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="00E00009">
        <w:rPr>
          <w:rFonts w:ascii="Times New Roman" w:hAnsi="Times New Roman" w:cs="Times New Roman"/>
          <w:color w:val="auto"/>
          <w:sz w:val="28"/>
          <w:szCs w:val="28"/>
        </w:rPr>
        <w:t>319/18</w:t>
      </w:r>
    </w:p>
    <w:p w:rsidR="007A7087" w:rsidRDefault="007A7087" w:rsidP="007A708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7B21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97B21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97B21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97B21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97B21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97B21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7A7087" w:rsidRPr="00A97B21" w:rsidRDefault="007A7087" w:rsidP="007A708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A7087" w:rsidRPr="00A97B21" w:rsidRDefault="007A7087" w:rsidP="007A7087">
      <w:pPr>
        <w:pStyle w:val="30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A97B21">
        <w:rPr>
          <w:sz w:val="28"/>
          <w:szCs w:val="28"/>
        </w:rPr>
        <w:t>ПОЛОЖЕНИЕ</w:t>
      </w:r>
    </w:p>
    <w:p w:rsidR="007A7087" w:rsidRPr="00706AD1" w:rsidRDefault="007A7087" w:rsidP="007A7087">
      <w:pPr>
        <w:pStyle w:val="30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A97B21">
        <w:rPr>
          <w:sz w:val="28"/>
          <w:szCs w:val="28"/>
        </w:rPr>
        <w:t>О Межведомственной комиссии по вопросам аккредитации</w:t>
      </w:r>
      <w:r w:rsidRPr="00706AD1">
        <w:rPr>
          <w:sz w:val="28"/>
          <w:szCs w:val="28"/>
        </w:rPr>
        <w:t xml:space="preserve"> </w:t>
      </w:r>
      <w:r w:rsidRPr="00607D44">
        <w:rPr>
          <w:sz w:val="28"/>
          <w:szCs w:val="28"/>
        </w:rPr>
        <w:t>иностранн</w:t>
      </w:r>
      <w:r>
        <w:rPr>
          <w:sz w:val="28"/>
          <w:szCs w:val="28"/>
        </w:rPr>
        <w:t>ых</w:t>
      </w:r>
      <w:r w:rsidRPr="00607D44">
        <w:rPr>
          <w:sz w:val="28"/>
          <w:szCs w:val="28"/>
        </w:rPr>
        <w:t xml:space="preserve"> некоммерческ</w:t>
      </w:r>
      <w:r>
        <w:rPr>
          <w:sz w:val="28"/>
          <w:szCs w:val="28"/>
        </w:rPr>
        <w:t>их</w:t>
      </w:r>
      <w:r w:rsidRPr="00607D44">
        <w:rPr>
          <w:sz w:val="28"/>
          <w:szCs w:val="28"/>
        </w:rPr>
        <w:t>, международн</w:t>
      </w:r>
      <w:r>
        <w:rPr>
          <w:sz w:val="28"/>
          <w:szCs w:val="28"/>
        </w:rPr>
        <w:t>ых</w:t>
      </w:r>
      <w:r w:rsidRPr="00607D44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607D44">
        <w:rPr>
          <w:sz w:val="28"/>
          <w:szCs w:val="28"/>
        </w:rPr>
        <w:t xml:space="preserve"> и</w:t>
      </w:r>
      <w:r w:rsidRPr="00A97B21">
        <w:rPr>
          <w:sz w:val="28"/>
          <w:szCs w:val="28"/>
        </w:rPr>
        <w:t xml:space="preserve"> гуманитарных миссий</w:t>
      </w:r>
      <w:r>
        <w:rPr>
          <w:sz w:val="28"/>
          <w:szCs w:val="28"/>
        </w:rPr>
        <w:t xml:space="preserve"> в Луганской Народной Республике</w:t>
      </w:r>
    </w:p>
    <w:p w:rsidR="007A7087" w:rsidRDefault="007A7087" w:rsidP="007A7087">
      <w:pPr>
        <w:pStyle w:val="30"/>
        <w:shd w:val="clear" w:color="auto" w:fill="auto"/>
        <w:spacing w:before="0" w:line="240" w:lineRule="auto"/>
        <w:ind w:left="20"/>
        <w:rPr>
          <w:sz w:val="28"/>
          <w:szCs w:val="28"/>
        </w:rPr>
      </w:pPr>
    </w:p>
    <w:p w:rsidR="007A7087" w:rsidRPr="00A97B21" w:rsidRDefault="007A7087" w:rsidP="007A7087">
      <w:pPr>
        <w:pStyle w:val="30"/>
        <w:shd w:val="clear" w:color="auto" w:fill="auto"/>
        <w:tabs>
          <w:tab w:val="left" w:pos="3635"/>
        </w:tabs>
        <w:spacing w:before="0" w:line="240" w:lineRule="auto"/>
        <w:ind w:left="20"/>
        <w:rPr>
          <w:sz w:val="28"/>
          <w:szCs w:val="28"/>
        </w:rPr>
      </w:pPr>
      <w:r w:rsidRPr="00A97B21">
        <w:rPr>
          <w:sz w:val="28"/>
          <w:szCs w:val="28"/>
          <w:lang w:val="en-US"/>
        </w:rPr>
        <w:t>I</w:t>
      </w:r>
      <w:r w:rsidRPr="00A97B21">
        <w:rPr>
          <w:sz w:val="28"/>
          <w:szCs w:val="28"/>
        </w:rPr>
        <w:t>. Общие положения</w:t>
      </w:r>
    </w:p>
    <w:p w:rsidR="007A7087" w:rsidRPr="00A97B21" w:rsidRDefault="007A7087" w:rsidP="007A7087">
      <w:pPr>
        <w:pStyle w:val="30"/>
        <w:shd w:val="clear" w:color="auto" w:fill="auto"/>
        <w:tabs>
          <w:tab w:val="left" w:pos="3635"/>
        </w:tabs>
        <w:spacing w:before="0" w:line="240" w:lineRule="auto"/>
        <w:ind w:left="3320"/>
        <w:jc w:val="both"/>
        <w:rPr>
          <w:sz w:val="28"/>
          <w:szCs w:val="28"/>
        </w:rPr>
      </w:pPr>
    </w:p>
    <w:p w:rsidR="007A7087" w:rsidRPr="00920DC8" w:rsidRDefault="007A7087" w:rsidP="007A7087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920DC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20DC8">
        <w:rPr>
          <w:rFonts w:ascii="Times New Roman" w:hAnsi="Times New Roman" w:cs="Times New Roman"/>
          <w:sz w:val="28"/>
          <w:szCs w:val="28"/>
        </w:rPr>
        <w:t xml:space="preserve">Межведомственная комиссия по вопросам аккредитации иностранных некоммерческих, международных организаций и гуманитарных миссий (далее – </w:t>
      </w:r>
      <w:r>
        <w:rPr>
          <w:rFonts w:ascii="Times New Roman" w:hAnsi="Times New Roman" w:cs="Times New Roman"/>
          <w:sz w:val="28"/>
          <w:szCs w:val="28"/>
        </w:rPr>
        <w:t>Межведомственная к</w:t>
      </w:r>
      <w:r w:rsidRPr="00920DC8">
        <w:rPr>
          <w:rFonts w:ascii="Times New Roman" w:hAnsi="Times New Roman" w:cs="Times New Roman"/>
          <w:sz w:val="28"/>
          <w:szCs w:val="28"/>
        </w:rPr>
        <w:t>омиссия) является координационным, совещательным органом, который рассматривает вопросы в сфере аккредитации иностранных некоммерческих, международных организаций и гуманитарных миссий на территории Луганской Народной Республики,</w:t>
      </w:r>
      <w:r w:rsidRPr="00920DC8">
        <w:rPr>
          <w:rFonts w:ascii="Times New Roman" w:hAnsi="Times New Roman" w:cs="Times New Roman"/>
          <w:color w:val="auto"/>
          <w:sz w:val="28"/>
          <w:szCs w:val="28"/>
        </w:rPr>
        <w:t xml:space="preserve"> а также их глав, сотрудников и административно-технического персонала,</w:t>
      </w:r>
      <w:r w:rsidRPr="00920DC8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r w:rsidRPr="0017412A">
        <w:rPr>
          <w:rFonts w:ascii="Times New Roman" w:hAnsi="Times New Roman" w:cs="Times New Roman"/>
          <w:sz w:val="28"/>
          <w:szCs w:val="28"/>
        </w:rPr>
        <w:t>к функциям которых относится осуществление мониторинговой и/или гуманитарной деятельности.</w:t>
      </w:r>
      <w:proofErr w:type="gramEnd"/>
    </w:p>
    <w:p w:rsidR="007A7087" w:rsidRPr="00A97B21" w:rsidRDefault="007A7087" w:rsidP="007A7087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920DC8">
        <w:rPr>
          <w:sz w:val="28"/>
          <w:szCs w:val="28"/>
        </w:rPr>
        <w:t>2. Деятельность</w:t>
      </w:r>
      <w:r w:rsidRPr="00A97B21">
        <w:rPr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Межведомственной к</w:t>
      </w:r>
      <w:r w:rsidRPr="00920DC8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A97B21">
        <w:rPr>
          <w:sz w:val="28"/>
          <w:szCs w:val="28"/>
        </w:rPr>
        <w:t xml:space="preserve"> осуществляется на основании Временного Основного Закона (Конституции) Луганской Народной Республики, законов Луганской Народной Республики, актов Главы Луганской Народной Республики, Совета Министров Луганской Народной Республики, международных договоров Луганской Народной Республики и настоящего Положения.</w:t>
      </w:r>
    </w:p>
    <w:p w:rsidR="007A7087" w:rsidRPr="00A97B21" w:rsidRDefault="007A7087" w:rsidP="007A7087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A97B21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По вопросам осуществления </w:t>
      </w:r>
      <w:proofErr w:type="spellStart"/>
      <w:r>
        <w:rPr>
          <w:sz w:val="28"/>
          <w:szCs w:val="28"/>
        </w:rPr>
        <w:t>аккретитованными</w:t>
      </w:r>
      <w:proofErr w:type="spellEnd"/>
      <w:r>
        <w:rPr>
          <w:sz w:val="28"/>
          <w:szCs w:val="28"/>
        </w:rPr>
        <w:t xml:space="preserve"> субъектами гуманитарной деятельности Межведомственная к</w:t>
      </w:r>
      <w:r w:rsidRPr="00920DC8">
        <w:rPr>
          <w:sz w:val="28"/>
          <w:szCs w:val="28"/>
        </w:rPr>
        <w:t>омиссия</w:t>
      </w:r>
      <w:r w:rsidRPr="00A97B2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работает</w:t>
      </w:r>
      <w:r w:rsidRPr="00A97B21">
        <w:rPr>
          <w:sz w:val="28"/>
          <w:szCs w:val="28"/>
        </w:rPr>
        <w:t xml:space="preserve"> во взаимодействии с исполнительными органами государственной власти, к ведению которых относятся вопросы </w:t>
      </w:r>
      <w:r w:rsidRPr="00624B61">
        <w:rPr>
          <w:sz w:val="28"/>
          <w:szCs w:val="28"/>
        </w:rPr>
        <w:t>распределения, использования и контроля гуманитарных грузов.</w:t>
      </w:r>
    </w:p>
    <w:p w:rsidR="007A7087" w:rsidRPr="00603892" w:rsidRDefault="007A7087" w:rsidP="007A7087">
      <w:pPr>
        <w:pStyle w:val="20"/>
        <w:shd w:val="clear" w:color="auto" w:fill="auto"/>
        <w:tabs>
          <w:tab w:val="left" w:pos="1091"/>
        </w:tabs>
        <w:spacing w:after="0" w:line="240" w:lineRule="auto"/>
        <w:ind w:left="743"/>
        <w:jc w:val="both"/>
        <w:rPr>
          <w:sz w:val="24"/>
          <w:szCs w:val="24"/>
        </w:rPr>
      </w:pPr>
    </w:p>
    <w:p w:rsidR="007A7087" w:rsidRPr="00F520B8" w:rsidRDefault="007A7087" w:rsidP="007A7087">
      <w:pPr>
        <w:pStyle w:val="30"/>
        <w:shd w:val="clear" w:color="auto" w:fill="auto"/>
        <w:tabs>
          <w:tab w:val="left" w:pos="2763"/>
        </w:tabs>
        <w:spacing w:before="0" w:line="240" w:lineRule="auto"/>
        <w:rPr>
          <w:sz w:val="28"/>
          <w:szCs w:val="28"/>
        </w:rPr>
      </w:pPr>
      <w:r w:rsidRPr="00A97B21">
        <w:rPr>
          <w:sz w:val="28"/>
          <w:szCs w:val="28"/>
          <w:lang w:val="en-US"/>
        </w:rPr>
        <w:t>II</w:t>
      </w:r>
      <w:r w:rsidRPr="00A97B21">
        <w:rPr>
          <w:sz w:val="28"/>
          <w:szCs w:val="28"/>
        </w:rPr>
        <w:t xml:space="preserve">. Основные задачи и функции </w:t>
      </w:r>
      <w:r>
        <w:rPr>
          <w:sz w:val="28"/>
          <w:szCs w:val="28"/>
        </w:rPr>
        <w:t>Межведомственной комиссии</w:t>
      </w:r>
    </w:p>
    <w:p w:rsidR="007A7087" w:rsidRPr="00603892" w:rsidRDefault="007A7087" w:rsidP="007A7087">
      <w:pPr>
        <w:pStyle w:val="30"/>
        <w:shd w:val="clear" w:color="auto" w:fill="auto"/>
        <w:tabs>
          <w:tab w:val="left" w:pos="2763"/>
        </w:tabs>
        <w:spacing w:before="0" w:line="240" w:lineRule="auto"/>
        <w:ind w:left="2340"/>
        <w:jc w:val="both"/>
        <w:rPr>
          <w:sz w:val="24"/>
          <w:szCs w:val="24"/>
        </w:rPr>
      </w:pPr>
    </w:p>
    <w:p w:rsidR="007A7087" w:rsidRPr="00A97B21" w:rsidRDefault="007A7087" w:rsidP="007A7087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97B21">
        <w:rPr>
          <w:sz w:val="28"/>
          <w:szCs w:val="28"/>
        </w:rPr>
        <w:t xml:space="preserve">4. На </w:t>
      </w:r>
      <w:r>
        <w:rPr>
          <w:sz w:val="28"/>
          <w:szCs w:val="28"/>
        </w:rPr>
        <w:t>Межведомственную комисси</w:t>
      </w:r>
      <w:r w:rsidRPr="00A97B21">
        <w:rPr>
          <w:sz w:val="28"/>
          <w:szCs w:val="28"/>
        </w:rPr>
        <w:t>ю возлагаются следующие задачи:</w:t>
      </w:r>
    </w:p>
    <w:p w:rsidR="007A7087" w:rsidRPr="00A97B21" w:rsidRDefault="007A7087" w:rsidP="007A7087">
      <w:pPr>
        <w:pStyle w:val="20"/>
        <w:shd w:val="clear" w:color="auto" w:fill="auto"/>
        <w:tabs>
          <w:tab w:val="left" w:pos="145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97B21">
        <w:rPr>
          <w:sz w:val="28"/>
          <w:szCs w:val="28"/>
        </w:rPr>
        <w:t xml:space="preserve">1) осуществление аккредитации </w:t>
      </w:r>
      <w:r>
        <w:rPr>
          <w:sz w:val="28"/>
          <w:szCs w:val="28"/>
        </w:rPr>
        <w:t>иностранных некоммерческих, международных организаций и гуманитарных миссий,</w:t>
      </w:r>
      <w:r w:rsidRPr="00A97B21">
        <w:rPr>
          <w:sz w:val="28"/>
          <w:szCs w:val="28"/>
        </w:rPr>
        <w:t xml:space="preserve"> а также </w:t>
      </w:r>
      <w:r>
        <w:rPr>
          <w:sz w:val="28"/>
          <w:szCs w:val="28"/>
        </w:rPr>
        <w:t xml:space="preserve">их </w:t>
      </w:r>
      <w:r w:rsidRPr="00A97B21">
        <w:rPr>
          <w:sz w:val="28"/>
          <w:szCs w:val="28"/>
        </w:rPr>
        <w:t>глав, сотрудников</w:t>
      </w:r>
      <w:r>
        <w:rPr>
          <w:sz w:val="28"/>
          <w:szCs w:val="28"/>
        </w:rPr>
        <w:t xml:space="preserve"> и</w:t>
      </w:r>
      <w:r w:rsidRPr="00A97B21">
        <w:rPr>
          <w:sz w:val="28"/>
          <w:szCs w:val="28"/>
        </w:rPr>
        <w:t xml:space="preserve"> административно-технического персонала;</w:t>
      </w:r>
    </w:p>
    <w:p w:rsidR="007A7087" w:rsidRPr="00A97B21" w:rsidRDefault="007A7087" w:rsidP="007A7087">
      <w:pPr>
        <w:pStyle w:val="20"/>
        <w:shd w:val="clear" w:color="auto" w:fill="auto"/>
        <w:tabs>
          <w:tab w:val="left" w:pos="114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97B21">
        <w:rPr>
          <w:sz w:val="28"/>
          <w:szCs w:val="28"/>
        </w:rPr>
        <w:t>2) осуществление контроля деятельности аккредитованных лиц;</w:t>
      </w:r>
    </w:p>
    <w:p w:rsidR="007A7087" w:rsidRPr="00A97B21" w:rsidRDefault="007A7087" w:rsidP="007A7087">
      <w:pPr>
        <w:pStyle w:val="20"/>
        <w:shd w:val="clear" w:color="auto" w:fill="auto"/>
        <w:tabs>
          <w:tab w:val="left" w:pos="114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97B21">
        <w:rPr>
          <w:sz w:val="28"/>
          <w:szCs w:val="28"/>
        </w:rPr>
        <w:t>3) формирование и ведение реестра аккредитованных лиц;</w:t>
      </w:r>
    </w:p>
    <w:p w:rsidR="007A7087" w:rsidRPr="00A97B21" w:rsidRDefault="007A7087" w:rsidP="007A7087">
      <w:pPr>
        <w:pStyle w:val="20"/>
        <w:shd w:val="clear" w:color="auto" w:fill="auto"/>
        <w:tabs>
          <w:tab w:val="left" w:pos="11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97B21">
        <w:rPr>
          <w:sz w:val="28"/>
          <w:szCs w:val="28"/>
        </w:rPr>
        <w:t xml:space="preserve">4) решение иных вопросов, связанных с аккредитацией </w:t>
      </w:r>
      <w:r>
        <w:rPr>
          <w:sz w:val="28"/>
          <w:szCs w:val="28"/>
        </w:rPr>
        <w:t>иностранных некоммерческих, международных организаций и</w:t>
      </w:r>
      <w:r w:rsidRPr="00A97B21">
        <w:rPr>
          <w:sz w:val="28"/>
          <w:szCs w:val="28"/>
        </w:rPr>
        <w:t xml:space="preserve"> гуманитарных миссий</w:t>
      </w:r>
      <w:r>
        <w:rPr>
          <w:sz w:val="28"/>
          <w:szCs w:val="28"/>
        </w:rPr>
        <w:t xml:space="preserve"> в соответствии с действующим законодательством Луганской Народной Республики</w:t>
      </w:r>
      <w:r w:rsidRPr="00A97B21">
        <w:rPr>
          <w:sz w:val="28"/>
          <w:szCs w:val="28"/>
        </w:rPr>
        <w:t>.</w:t>
      </w:r>
    </w:p>
    <w:p w:rsidR="007A7087" w:rsidRPr="00A97B21" w:rsidRDefault="007A7087" w:rsidP="007A7087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97B21">
        <w:rPr>
          <w:sz w:val="28"/>
          <w:szCs w:val="28"/>
        </w:rPr>
        <w:lastRenderedPageBreak/>
        <w:t xml:space="preserve">5. Во исполнение возложенных задач </w:t>
      </w:r>
      <w:r>
        <w:rPr>
          <w:sz w:val="28"/>
          <w:szCs w:val="28"/>
        </w:rPr>
        <w:t>Межведомственная комиссия</w:t>
      </w:r>
      <w:r w:rsidRPr="00A97B21">
        <w:rPr>
          <w:sz w:val="28"/>
          <w:szCs w:val="28"/>
        </w:rPr>
        <w:t xml:space="preserve"> выполняет следующие функции:</w:t>
      </w:r>
    </w:p>
    <w:p w:rsidR="007A7087" w:rsidRPr="00A97B21" w:rsidRDefault="007A7087" w:rsidP="007A7087">
      <w:pPr>
        <w:pStyle w:val="20"/>
        <w:shd w:val="clear" w:color="auto" w:fill="auto"/>
        <w:tabs>
          <w:tab w:val="left" w:pos="1107"/>
        </w:tabs>
        <w:spacing w:after="0" w:line="240" w:lineRule="auto"/>
        <w:ind w:right="75" w:firstLine="709"/>
        <w:jc w:val="both"/>
        <w:rPr>
          <w:sz w:val="28"/>
          <w:szCs w:val="28"/>
        </w:rPr>
      </w:pPr>
      <w:r w:rsidRPr="00A97B21">
        <w:rPr>
          <w:sz w:val="28"/>
          <w:szCs w:val="28"/>
        </w:rPr>
        <w:t>1) утверждает критерии аккредитации и требования к аккредитованным лицам;</w:t>
      </w:r>
    </w:p>
    <w:p w:rsidR="007A7087" w:rsidRPr="00A97B21" w:rsidRDefault="007A7087" w:rsidP="007A7087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97B21">
        <w:rPr>
          <w:sz w:val="28"/>
          <w:szCs w:val="28"/>
        </w:rPr>
        <w:t xml:space="preserve">2) утверждает формы заявления об аккредитации, заявления о расширении (сокращении) </w:t>
      </w:r>
      <w:r>
        <w:rPr>
          <w:sz w:val="28"/>
          <w:szCs w:val="28"/>
        </w:rPr>
        <w:t>сферы</w:t>
      </w:r>
      <w:r w:rsidRPr="00A97B21">
        <w:rPr>
          <w:sz w:val="28"/>
          <w:szCs w:val="28"/>
        </w:rPr>
        <w:t xml:space="preserve"> аккредитации, заявления о прекращении действия </w:t>
      </w:r>
      <w:proofErr w:type="spellStart"/>
      <w:r w:rsidRPr="00A97B21">
        <w:rPr>
          <w:sz w:val="28"/>
          <w:szCs w:val="28"/>
        </w:rPr>
        <w:t>аккредитационной</w:t>
      </w:r>
      <w:proofErr w:type="spellEnd"/>
      <w:r w:rsidRPr="00A97B21">
        <w:rPr>
          <w:sz w:val="28"/>
          <w:szCs w:val="28"/>
        </w:rPr>
        <w:t xml:space="preserve"> карточки;</w:t>
      </w:r>
    </w:p>
    <w:p w:rsidR="007A7087" w:rsidRPr="00A97B21" w:rsidRDefault="007A7087" w:rsidP="007A7087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97B21">
        <w:rPr>
          <w:sz w:val="28"/>
          <w:szCs w:val="28"/>
        </w:rPr>
        <w:t>3) в пределах своей компетенции участвует в установленном порядке в проведении проверочных мероприятий в отношении аккредитованных лиц;</w:t>
      </w:r>
    </w:p>
    <w:p w:rsidR="007A7087" w:rsidRPr="00A97B21" w:rsidRDefault="007A7087" w:rsidP="007A7087">
      <w:pPr>
        <w:pStyle w:val="20"/>
        <w:shd w:val="clear" w:color="auto" w:fill="auto"/>
        <w:tabs>
          <w:tab w:val="left" w:pos="116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97B21">
        <w:rPr>
          <w:sz w:val="28"/>
          <w:szCs w:val="28"/>
        </w:rPr>
        <w:t>4) устанавливает порядок предоставления аккредитованными лицами информации о результатах своей деятельности, а также информации об изменениях состава персонала и его компетентности.</w:t>
      </w:r>
    </w:p>
    <w:p w:rsidR="007A7087" w:rsidRPr="00A97B21" w:rsidRDefault="007A7087" w:rsidP="007A7087">
      <w:pPr>
        <w:pStyle w:val="20"/>
        <w:shd w:val="clear" w:color="auto" w:fill="auto"/>
        <w:tabs>
          <w:tab w:val="left" w:pos="116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97B21">
        <w:rPr>
          <w:sz w:val="28"/>
          <w:szCs w:val="28"/>
        </w:rPr>
        <w:t xml:space="preserve">6. </w:t>
      </w:r>
      <w:r>
        <w:rPr>
          <w:sz w:val="28"/>
          <w:szCs w:val="28"/>
        </w:rPr>
        <w:t>Межведомственная комиссия</w:t>
      </w:r>
      <w:r w:rsidRPr="00A97B21">
        <w:rPr>
          <w:sz w:val="28"/>
          <w:szCs w:val="28"/>
        </w:rPr>
        <w:t xml:space="preserve"> обязана обеспечивать объективность и беспристрастность при осуществлении аккредитации.</w:t>
      </w:r>
    </w:p>
    <w:p w:rsidR="007A7087" w:rsidRPr="00A97B21" w:rsidRDefault="007A7087" w:rsidP="007A7087">
      <w:pPr>
        <w:pStyle w:val="20"/>
        <w:shd w:val="clear" w:color="auto" w:fill="auto"/>
        <w:tabs>
          <w:tab w:val="left" w:pos="116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97B21">
        <w:rPr>
          <w:sz w:val="28"/>
          <w:szCs w:val="28"/>
        </w:rPr>
        <w:t xml:space="preserve">7. Сведения, полученные </w:t>
      </w:r>
      <w:r>
        <w:rPr>
          <w:sz w:val="28"/>
          <w:szCs w:val="28"/>
        </w:rPr>
        <w:t>Межведомственной комиссией</w:t>
      </w:r>
      <w:r w:rsidRPr="00A97B21">
        <w:rPr>
          <w:sz w:val="28"/>
          <w:szCs w:val="28"/>
        </w:rPr>
        <w:t xml:space="preserve"> при осуществлении своих полномочий, не подлежат разглашению, за исключением случаев, предусмотренных законодательством Луганской Народной Республики.</w:t>
      </w:r>
    </w:p>
    <w:p w:rsidR="007A7087" w:rsidRPr="00A97B21" w:rsidRDefault="007A7087" w:rsidP="007A7087">
      <w:pPr>
        <w:pStyle w:val="20"/>
        <w:shd w:val="clear" w:color="auto" w:fill="auto"/>
        <w:tabs>
          <w:tab w:val="left" w:pos="116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97B21">
        <w:rPr>
          <w:sz w:val="28"/>
          <w:szCs w:val="28"/>
        </w:rPr>
        <w:t xml:space="preserve">8. Деятельность </w:t>
      </w:r>
      <w:r>
        <w:rPr>
          <w:sz w:val="28"/>
          <w:szCs w:val="28"/>
        </w:rPr>
        <w:t>иностранных некоммерческих, международных организаций и</w:t>
      </w:r>
      <w:r w:rsidRPr="00A97B21">
        <w:rPr>
          <w:sz w:val="28"/>
          <w:szCs w:val="28"/>
        </w:rPr>
        <w:t xml:space="preserve"> гуманитарных миссий, не получивших аккредитацию </w:t>
      </w:r>
      <w:r>
        <w:rPr>
          <w:sz w:val="28"/>
          <w:szCs w:val="28"/>
        </w:rPr>
        <w:t>Межведомственной комиссии</w:t>
      </w:r>
      <w:r w:rsidRPr="00A97B21">
        <w:rPr>
          <w:sz w:val="28"/>
          <w:szCs w:val="28"/>
        </w:rPr>
        <w:t>, на территории Луганской Народной Республики запрещается.</w:t>
      </w:r>
    </w:p>
    <w:p w:rsidR="007A7087" w:rsidRPr="00603892" w:rsidRDefault="007A7087" w:rsidP="007A7087">
      <w:pPr>
        <w:pStyle w:val="20"/>
        <w:shd w:val="clear" w:color="auto" w:fill="auto"/>
        <w:tabs>
          <w:tab w:val="left" w:pos="1064"/>
        </w:tabs>
        <w:spacing w:after="0" w:line="240" w:lineRule="auto"/>
        <w:ind w:left="740" w:right="140"/>
        <w:jc w:val="both"/>
        <w:rPr>
          <w:sz w:val="24"/>
          <w:szCs w:val="24"/>
        </w:rPr>
      </w:pPr>
    </w:p>
    <w:p w:rsidR="007A7087" w:rsidRPr="00A97B21" w:rsidRDefault="007A7087" w:rsidP="007A7087">
      <w:pPr>
        <w:pStyle w:val="30"/>
        <w:shd w:val="clear" w:color="auto" w:fill="auto"/>
        <w:tabs>
          <w:tab w:val="left" w:pos="1980"/>
          <w:tab w:val="left" w:leader="hyphen" w:pos="7655"/>
        </w:tabs>
        <w:spacing w:before="0" w:line="240" w:lineRule="auto"/>
        <w:ind w:left="1420"/>
        <w:jc w:val="both"/>
        <w:rPr>
          <w:sz w:val="28"/>
          <w:szCs w:val="28"/>
        </w:rPr>
      </w:pPr>
      <w:r w:rsidRPr="00A97B21">
        <w:rPr>
          <w:sz w:val="28"/>
          <w:szCs w:val="28"/>
          <w:lang w:val="en-US"/>
        </w:rPr>
        <w:t>III</w:t>
      </w:r>
      <w:r w:rsidRPr="00A97B21">
        <w:rPr>
          <w:sz w:val="28"/>
          <w:szCs w:val="28"/>
        </w:rPr>
        <w:t>. Порядок формирования, организация и координация</w:t>
      </w:r>
    </w:p>
    <w:p w:rsidR="007A7087" w:rsidRPr="003A67D5" w:rsidRDefault="007A7087" w:rsidP="007A7087">
      <w:pPr>
        <w:pStyle w:val="30"/>
        <w:shd w:val="clear" w:color="auto" w:fill="auto"/>
        <w:spacing w:before="0" w:line="240" w:lineRule="auto"/>
        <w:ind w:left="120"/>
        <w:rPr>
          <w:sz w:val="28"/>
          <w:szCs w:val="28"/>
        </w:rPr>
      </w:pPr>
      <w:r w:rsidRPr="00A97B21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Межведомственной комиссии</w:t>
      </w:r>
    </w:p>
    <w:p w:rsidR="007A7087" w:rsidRPr="00603892" w:rsidRDefault="007A7087" w:rsidP="007A7087">
      <w:pPr>
        <w:pStyle w:val="30"/>
        <w:shd w:val="clear" w:color="auto" w:fill="auto"/>
        <w:spacing w:before="0" w:line="240" w:lineRule="auto"/>
        <w:ind w:left="120"/>
        <w:rPr>
          <w:sz w:val="24"/>
          <w:szCs w:val="24"/>
        </w:rPr>
      </w:pPr>
    </w:p>
    <w:p w:rsidR="007A7087" w:rsidRPr="00A97B21" w:rsidRDefault="007A7087" w:rsidP="007A7087">
      <w:pPr>
        <w:pStyle w:val="20"/>
        <w:shd w:val="clear" w:color="auto" w:fill="auto"/>
        <w:spacing w:after="0" w:line="240" w:lineRule="auto"/>
        <w:ind w:left="740"/>
        <w:jc w:val="both"/>
        <w:rPr>
          <w:sz w:val="28"/>
          <w:szCs w:val="28"/>
        </w:rPr>
      </w:pPr>
      <w:r w:rsidRPr="00A97B21">
        <w:rPr>
          <w:sz w:val="28"/>
          <w:szCs w:val="28"/>
        </w:rPr>
        <w:t xml:space="preserve">9. В состав </w:t>
      </w:r>
      <w:r>
        <w:rPr>
          <w:sz w:val="28"/>
          <w:szCs w:val="28"/>
        </w:rPr>
        <w:t>Межведомственной комиссии</w:t>
      </w:r>
      <w:r w:rsidRPr="00A97B21">
        <w:rPr>
          <w:sz w:val="28"/>
          <w:szCs w:val="28"/>
        </w:rPr>
        <w:t xml:space="preserve"> входят:</w:t>
      </w:r>
    </w:p>
    <w:p w:rsidR="007A7087" w:rsidRPr="00A97B21" w:rsidRDefault="007A7087" w:rsidP="007A7087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97B21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Межведомственной комиссии (Межведомственную комиссию</w:t>
      </w:r>
      <w:r w:rsidRPr="00A97B21">
        <w:rPr>
          <w:sz w:val="28"/>
          <w:szCs w:val="28"/>
        </w:rPr>
        <w:t xml:space="preserve"> возглавляет один из заместителей Председателя Совета Министров Луганской Народной Республики);</w:t>
      </w:r>
    </w:p>
    <w:p w:rsidR="007A7087" w:rsidRDefault="007A7087" w:rsidP="007A7087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97B21">
        <w:rPr>
          <w:sz w:val="28"/>
          <w:szCs w:val="28"/>
        </w:rPr>
        <w:t>представители</w:t>
      </w:r>
      <w:r>
        <w:rPr>
          <w:sz w:val="28"/>
          <w:szCs w:val="28"/>
        </w:rPr>
        <w:t>:</w:t>
      </w:r>
    </w:p>
    <w:p w:rsidR="007A7087" w:rsidRPr="00A97B21" w:rsidRDefault="007A7087" w:rsidP="007A7087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97B21">
        <w:rPr>
          <w:sz w:val="28"/>
          <w:szCs w:val="28"/>
        </w:rPr>
        <w:t>Министерства государственной безопасности Луганской Народной Республики;</w:t>
      </w:r>
    </w:p>
    <w:p w:rsidR="007A7087" w:rsidRPr="00A97B21" w:rsidRDefault="007A7087" w:rsidP="007A7087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97B21">
        <w:rPr>
          <w:rStyle w:val="212pt"/>
          <w:i w:val="0"/>
          <w:color w:val="auto"/>
          <w:sz w:val="28"/>
          <w:szCs w:val="28"/>
        </w:rPr>
        <w:t>Министерства</w:t>
      </w:r>
      <w:r w:rsidRPr="00A97B21">
        <w:rPr>
          <w:sz w:val="28"/>
          <w:szCs w:val="28"/>
        </w:rPr>
        <w:t xml:space="preserve"> внутренних дел Луганской Народной Республики;</w:t>
      </w:r>
    </w:p>
    <w:p w:rsidR="007A7087" w:rsidRPr="00A97B21" w:rsidRDefault="007A7087" w:rsidP="007A7087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97B21">
        <w:rPr>
          <w:sz w:val="28"/>
          <w:szCs w:val="28"/>
        </w:rPr>
        <w:t>Министерства труда и социальной политики Луганской Народной Республики;</w:t>
      </w:r>
    </w:p>
    <w:p w:rsidR="007A7087" w:rsidRPr="00A97B21" w:rsidRDefault="007A7087" w:rsidP="007A7087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97B21">
        <w:rPr>
          <w:sz w:val="28"/>
          <w:szCs w:val="28"/>
        </w:rPr>
        <w:t>Министерства здравоохранения Луганской Народной Республики;</w:t>
      </w:r>
    </w:p>
    <w:p w:rsidR="007A7087" w:rsidRPr="00A97B21" w:rsidRDefault="007A7087" w:rsidP="007A7087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97B21">
        <w:rPr>
          <w:sz w:val="28"/>
          <w:szCs w:val="28"/>
        </w:rPr>
        <w:t>Министерства образования и науки Луганской Народной Республики;</w:t>
      </w:r>
    </w:p>
    <w:p w:rsidR="007A7087" w:rsidRDefault="007A7087" w:rsidP="007A7087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97B21">
        <w:rPr>
          <w:sz w:val="28"/>
          <w:szCs w:val="28"/>
        </w:rPr>
        <w:t>Министерства юстиции Луганской Народной Республики</w:t>
      </w:r>
      <w:r>
        <w:rPr>
          <w:sz w:val="28"/>
          <w:szCs w:val="28"/>
        </w:rPr>
        <w:t>;</w:t>
      </w:r>
    </w:p>
    <w:p w:rsidR="007A7087" w:rsidRDefault="007A7087" w:rsidP="007A7087">
      <w:pPr>
        <w:pStyle w:val="a3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Министерства иностранных дел Луганской Народной Республики;</w:t>
      </w:r>
    </w:p>
    <w:p w:rsidR="007A7087" w:rsidRDefault="007A7087" w:rsidP="007A7087">
      <w:pPr>
        <w:pStyle w:val="a3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Министерства </w:t>
      </w:r>
      <w:r w:rsidRPr="00BF766C">
        <w:rPr>
          <w:color w:val="000000"/>
          <w:sz w:val="28"/>
          <w:szCs w:val="28"/>
        </w:rPr>
        <w:t>чрезвычайных ситуаций и ликвидации последствий стихийных бедствий Луганской Народной Республики</w:t>
      </w:r>
      <w:r>
        <w:rPr>
          <w:sz w:val="28"/>
          <w:szCs w:val="28"/>
        </w:rPr>
        <w:t>;</w:t>
      </w:r>
    </w:p>
    <w:p w:rsidR="007A7087" w:rsidRDefault="007A7087" w:rsidP="007A7087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таможенного комитета Луганской Народной Республики;</w:t>
      </w:r>
    </w:p>
    <w:p w:rsidR="007A7087" w:rsidRPr="00382674" w:rsidRDefault="007A7087" w:rsidP="007A7087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Аппарата Совета Министров Луганской Народной Республики.</w:t>
      </w:r>
    </w:p>
    <w:p w:rsidR="007A7087" w:rsidRPr="00A97B21" w:rsidRDefault="007A7087" w:rsidP="007A7087">
      <w:pPr>
        <w:pStyle w:val="20"/>
        <w:shd w:val="clear" w:color="auto" w:fill="auto"/>
        <w:spacing w:after="0" w:line="240" w:lineRule="auto"/>
        <w:ind w:right="140" w:firstLine="740"/>
        <w:jc w:val="both"/>
        <w:rPr>
          <w:sz w:val="28"/>
          <w:szCs w:val="28"/>
        </w:rPr>
      </w:pPr>
      <w:r w:rsidRPr="00A97B21">
        <w:rPr>
          <w:sz w:val="28"/>
          <w:szCs w:val="28"/>
        </w:rPr>
        <w:t>Персональный и численный состав утверждается Советом Министров Луганской Народной Республики.</w:t>
      </w:r>
    </w:p>
    <w:p w:rsidR="007A7087" w:rsidRPr="00A97B21" w:rsidRDefault="007A7087" w:rsidP="007A7087">
      <w:pPr>
        <w:pStyle w:val="20"/>
        <w:shd w:val="clear" w:color="auto" w:fill="auto"/>
        <w:spacing w:after="0" w:line="240" w:lineRule="auto"/>
        <w:ind w:right="-7" w:firstLine="740"/>
        <w:jc w:val="both"/>
        <w:rPr>
          <w:sz w:val="28"/>
          <w:szCs w:val="28"/>
        </w:rPr>
      </w:pPr>
      <w:r w:rsidRPr="00A97B21">
        <w:rPr>
          <w:sz w:val="28"/>
          <w:szCs w:val="28"/>
        </w:rPr>
        <w:t xml:space="preserve">10. Председатель </w:t>
      </w:r>
      <w:r>
        <w:rPr>
          <w:sz w:val="28"/>
          <w:szCs w:val="28"/>
        </w:rPr>
        <w:t>Межведомственной комиссии</w:t>
      </w:r>
      <w:r w:rsidRPr="00A97B21">
        <w:rPr>
          <w:sz w:val="28"/>
          <w:szCs w:val="28"/>
        </w:rPr>
        <w:t xml:space="preserve"> имеет </w:t>
      </w:r>
      <w:r>
        <w:rPr>
          <w:sz w:val="28"/>
          <w:szCs w:val="28"/>
        </w:rPr>
        <w:t xml:space="preserve">в подчинении </w:t>
      </w:r>
      <w:r w:rsidRPr="00A97B21">
        <w:rPr>
          <w:sz w:val="28"/>
          <w:szCs w:val="28"/>
        </w:rPr>
        <w:t xml:space="preserve">одного заместителя, </w:t>
      </w:r>
      <w:r>
        <w:rPr>
          <w:sz w:val="28"/>
          <w:szCs w:val="28"/>
        </w:rPr>
        <w:t>к</w:t>
      </w:r>
      <w:r w:rsidRPr="00A97B21">
        <w:rPr>
          <w:sz w:val="28"/>
          <w:szCs w:val="28"/>
        </w:rPr>
        <w:t xml:space="preserve">оторый назначается из состава </w:t>
      </w:r>
      <w:r>
        <w:rPr>
          <w:sz w:val="28"/>
          <w:szCs w:val="28"/>
        </w:rPr>
        <w:t>Межведомственной комиссии</w:t>
      </w:r>
      <w:r w:rsidRPr="00A97B21">
        <w:rPr>
          <w:sz w:val="28"/>
          <w:szCs w:val="28"/>
        </w:rPr>
        <w:t>.</w:t>
      </w:r>
    </w:p>
    <w:p w:rsidR="007A7087" w:rsidRPr="00A97B21" w:rsidRDefault="007A7087" w:rsidP="007A7087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A97B21">
        <w:rPr>
          <w:sz w:val="28"/>
          <w:szCs w:val="28"/>
        </w:rPr>
        <w:t xml:space="preserve">В случае временного отсутствия </w:t>
      </w:r>
      <w:r>
        <w:rPr>
          <w:sz w:val="28"/>
          <w:szCs w:val="28"/>
        </w:rPr>
        <w:t>п</w:t>
      </w:r>
      <w:r w:rsidRPr="00A97B21">
        <w:rPr>
          <w:sz w:val="28"/>
          <w:szCs w:val="28"/>
        </w:rPr>
        <w:t xml:space="preserve">редседателя </w:t>
      </w:r>
      <w:r>
        <w:rPr>
          <w:sz w:val="28"/>
          <w:szCs w:val="28"/>
        </w:rPr>
        <w:t>Межведомственной комиссии</w:t>
      </w:r>
      <w:r w:rsidRPr="00A97B21">
        <w:rPr>
          <w:sz w:val="28"/>
          <w:szCs w:val="28"/>
        </w:rPr>
        <w:t xml:space="preserve"> его обязанности по руководству </w:t>
      </w:r>
      <w:r>
        <w:rPr>
          <w:sz w:val="28"/>
          <w:szCs w:val="28"/>
        </w:rPr>
        <w:t>Межведомственной комиссией</w:t>
      </w:r>
      <w:r w:rsidRPr="00A97B21">
        <w:rPr>
          <w:sz w:val="28"/>
          <w:szCs w:val="28"/>
        </w:rPr>
        <w:t xml:space="preserve"> исполняет заместитель председателя </w:t>
      </w:r>
      <w:r>
        <w:rPr>
          <w:sz w:val="28"/>
          <w:szCs w:val="28"/>
        </w:rPr>
        <w:t>Межведомственной комиссии</w:t>
      </w:r>
      <w:r w:rsidRPr="00A97B21">
        <w:rPr>
          <w:sz w:val="28"/>
          <w:szCs w:val="28"/>
        </w:rPr>
        <w:t>.</w:t>
      </w:r>
    </w:p>
    <w:p w:rsidR="007A7087" w:rsidRPr="00A97B21" w:rsidRDefault="007A7087" w:rsidP="007A7087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A97B21">
        <w:rPr>
          <w:sz w:val="28"/>
          <w:szCs w:val="28"/>
        </w:rPr>
        <w:t xml:space="preserve">11. Председатель </w:t>
      </w:r>
      <w:r>
        <w:rPr>
          <w:sz w:val="28"/>
          <w:szCs w:val="28"/>
        </w:rPr>
        <w:t>Межведомственной комиссии</w:t>
      </w:r>
      <w:r w:rsidRPr="00A97B21">
        <w:rPr>
          <w:sz w:val="28"/>
          <w:szCs w:val="28"/>
        </w:rPr>
        <w:t>:</w:t>
      </w:r>
    </w:p>
    <w:p w:rsidR="007A7087" w:rsidRPr="00A97B21" w:rsidRDefault="007A7087" w:rsidP="007A7087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A97B21">
        <w:rPr>
          <w:sz w:val="28"/>
          <w:szCs w:val="28"/>
        </w:rPr>
        <w:t xml:space="preserve">осуществляет общее руководство и координацию деятельности </w:t>
      </w:r>
      <w:r>
        <w:rPr>
          <w:sz w:val="28"/>
          <w:szCs w:val="28"/>
        </w:rPr>
        <w:t>Межведомственной комиссией</w:t>
      </w:r>
      <w:r w:rsidRPr="00A97B21">
        <w:rPr>
          <w:sz w:val="28"/>
          <w:szCs w:val="28"/>
        </w:rPr>
        <w:t>;</w:t>
      </w:r>
    </w:p>
    <w:p w:rsidR="007A7087" w:rsidRPr="00A97B21" w:rsidRDefault="007A7087" w:rsidP="007A7087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A97B21">
        <w:rPr>
          <w:sz w:val="28"/>
          <w:szCs w:val="28"/>
        </w:rPr>
        <w:t xml:space="preserve">ежемесячно представляет отчет о деятельности </w:t>
      </w:r>
      <w:r>
        <w:rPr>
          <w:sz w:val="28"/>
          <w:szCs w:val="28"/>
        </w:rPr>
        <w:t>Межведомственной комиссии</w:t>
      </w:r>
      <w:r w:rsidRPr="00A97B21">
        <w:rPr>
          <w:sz w:val="28"/>
          <w:szCs w:val="28"/>
        </w:rPr>
        <w:t xml:space="preserve"> Главе Луганской Народной Республики и Председателю Совета Министров Луганской Народной Республики;</w:t>
      </w:r>
    </w:p>
    <w:p w:rsidR="007A7087" w:rsidRPr="00A97B21" w:rsidRDefault="007A7087" w:rsidP="007A7087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A97B21">
        <w:rPr>
          <w:sz w:val="28"/>
          <w:szCs w:val="28"/>
        </w:rPr>
        <w:t xml:space="preserve">распределяет обязанности между членами </w:t>
      </w:r>
      <w:r>
        <w:rPr>
          <w:sz w:val="28"/>
          <w:szCs w:val="28"/>
        </w:rPr>
        <w:t>Межведомственной комиссии</w:t>
      </w:r>
      <w:r w:rsidRPr="00A97B21">
        <w:rPr>
          <w:sz w:val="28"/>
          <w:szCs w:val="28"/>
        </w:rPr>
        <w:t>;</w:t>
      </w:r>
    </w:p>
    <w:p w:rsidR="007A7087" w:rsidRPr="00A97B21" w:rsidRDefault="007A7087" w:rsidP="007A7087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A97B21">
        <w:rPr>
          <w:sz w:val="28"/>
          <w:szCs w:val="28"/>
        </w:rPr>
        <w:t>осуществляет иные полномочия в соответствии с законодательством Луганской Народной Республики.</w:t>
      </w:r>
    </w:p>
    <w:p w:rsidR="007A7087" w:rsidRPr="00A97B21" w:rsidRDefault="007A7087" w:rsidP="007A7087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A97B21">
        <w:rPr>
          <w:sz w:val="28"/>
          <w:szCs w:val="28"/>
        </w:rPr>
        <w:t xml:space="preserve">12. Заседания </w:t>
      </w:r>
      <w:r>
        <w:rPr>
          <w:sz w:val="28"/>
          <w:szCs w:val="28"/>
        </w:rPr>
        <w:t>Межведомственной комиссии</w:t>
      </w:r>
      <w:r w:rsidRPr="00A97B21">
        <w:rPr>
          <w:sz w:val="28"/>
          <w:szCs w:val="28"/>
        </w:rPr>
        <w:t xml:space="preserve"> проводятся по мере поступления заявлений об аккредитации, но не реже</w:t>
      </w:r>
      <w:r>
        <w:rPr>
          <w:sz w:val="28"/>
          <w:szCs w:val="28"/>
        </w:rPr>
        <w:t xml:space="preserve"> 2 (двух) раз</w:t>
      </w:r>
      <w:r w:rsidRPr="00A97B21">
        <w:rPr>
          <w:sz w:val="28"/>
          <w:szCs w:val="28"/>
        </w:rPr>
        <w:t xml:space="preserve"> в месяц.</w:t>
      </w:r>
    </w:p>
    <w:p w:rsidR="007A7087" w:rsidRPr="00A97B21" w:rsidRDefault="007A7087" w:rsidP="007A7087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A97B21">
        <w:rPr>
          <w:sz w:val="28"/>
          <w:szCs w:val="28"/>
        </w:rPr>
        <w:t xml:space="preserve">13. Решения </w:t>
      </w:r>
      <w:r>
        <w:rPr>
          <w:sz w:val="28"/>
          <w:szCs w:val="28"/>
        </w:rPr>
        <w:t>Межведомственной комиссии</w:t>
      </w:r>
      <w:r w:rsidRPr="00A97B21">
        <w:rPr>
          <w:sz w:val="28"/>
          <w:szCs w:val="28"/>
        </w:rPr>
        <w:t xml:space="preserve"> принимаются путем проведения открытого голосования простым большинством голосов.</w:t>
      </w:r>
    </w:p>
    <w:p w:rsidR="007A7087" w:rsidRPr="00603892" w:rsidRDefault="007A7087" w:rsidP="007A7087">
      <w:pPr>
        <w:pStyle w:val="30"/>
        <w:shd w:val="clear" w:color="auto" w:fill="auto"/>
        <w:tabs>
          <w:tab w:val="left" w:pos="5618"/>
        </w:tabs>
        <w:spacing w:before="0" w:line="240" w:lineRule="auto"/>
        <w:ind w:left="420"/>
        <w:jc w:val="both"/>
        <w:rPr>
          <w:sz w:val="24"/>
          <w:szCs w:val="24"/>
        </w:rPr>
      </w:pPr>
    </w:p>
    <w:p w:rsidR="007A7087" w:rsidRPr="00A97B21" w:rsidRDefault="007A7087" w:rsidP="007A7087">
      <w:pPr>
        <w:pStyle w:val="30"/>
        <w:shd w:val="clear" w:color="auto" w:fill="auto"/>
        <w:tabs>
          <w:tab w:val="left" w:pos="5618"/>
        </w:tabs>
        <w:spacing w:before="0" w:line="240" w:lineRule="auto"/>
        <w:ind w:left="420"/>
        <w:rPr>
          <w:sz w:val="28"/>
          <w:szCs w:val="28"/>
        </w:rPr>
      </w:pPr>
      <w:r w:rsidRPr="00A97B21">
        <w:rPr>
          <w:sz w:val="28"/>
          <w:szCs w:val="28"/>
        </w:rPr>
        <w:t xml:space="preserve">IV. Порядок взаимодействия </w:t>
      </w:r>
      <w:r>
        <w:rPr>
          <w:sz w:val="28"/>
          <w:szCs w:val="28"/>
        </w:rPr>
        <w:t>Межведомственной комиссии</w:t>
      </w:r>
      <w:r w:rsidRPr="00A97B21">
        <w:rPr>
          <w:sz w:val="28"/>
          <w:szCs w:val="28"/>
        </w:rPr>
        <w:t xml:space="preserve"> с исполнительными органами государственной власти Луганской Народной Республики</w:t>
      </w:r>
      <w:r w:rsidRPr="00382674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вопросам осуществления аккредитованными субъектами гуманитарной деятельности</w:t>
      </w:r>
    </w:p>
    <w:p w:rsidR="007A7087" w:rsidRPr="00603892" w:rsidRDefault="007A7087" w:rsidP="007A7087">
      <w:pPr>
        <w:pStyle w:val="30"/>
        <w:shd w:val="clear" w:color="auto" w:fill="auto"/>
        <w:spacing w:before="0" w:line="240" w:lineRule="auto"/>
        <w:jc w:val="left"/>
        <w:rPr>
          <w:b w:val="0"/>
          <w:sz w:val="24"/>
          <w:szCs w:val="24"/>
        </w:rPr>
      </w:pPr>
    </w:p>
    <w:p w:rsidR="007A7087" w:rsidRPr="00A34210" w:rsidRDefault="007A7087" w:rsidP="007A7087">
      <w:pPr>
        <w:pStyle w:val="30"/>
        <w:shd w:val="clear" w:color="auto" w:fill="auto"/>
        <w:spacing w:before="0" w:line="240" w:lineRule="auto"/>
        <w:ind w:firstLine="708"/>
        <w:jc w:val="both"/>
        <w:rPr>
          <w:b w:val="0"/>
          <w:sz w:val="28"/>
          <w:szCs w:val="28"/>
        </w:rPr>
      </w:pPr>
      <w:r w:rsidRPr="00A97B21">
        <w:rPr>
          <w:b w:val="0"/>
          <w:sz w:val="28"/>
          <w:szCs w:val="28"/>
        </w:rPr>
        <w:t xml:space="preserve">14. </w:t>
      </w:r>
      <w:proofErr w:type="gramStart"/>
      <w:r w:rsidRPr="00A34210">
        <w:rPr>
          <w:b w:val="0"/>
          <w:sz w:val="28"/>
          <w:szCs w:val="28"/>
        </w:rPr>
        <w:t>В случае прибытия в зону таможенного контроля пунктов пропуска Луганской Народной Республики, расположенных на границе с Российской Федераци</w:t>
      </w:r>
      <w:r>
        <w:rPr>
          <w:b w:val="0"/>
          <w:sz w:val="28"/>
          <w:szCs w:val="28"/>
        </w:rPr>
        <w:t>ей,</w:t>
      </w:r>
      <w:r w:rsidRPr="00A34210">
        <w:rPr>
          <w:b w:val="0"/>
          <w:sz w:val="28"/>
          <w:szCs w:val="28"/>
        </w:rPr>
        <w:t xml:space="preserve"> или временных пунктов таможенного контроля, расположенных на административной границе Луганской Народной Республики с Донецкой Народной Республикой</w:t>
      </w:r>
      <w:r>
        <w:rPr>
          <w:b w:val="0"/>
          <w:sz w:val="28"/>
          <w:szCs w:val="28"/>
        </w:rPr>
        <w:t>,</w:t>
      </w:r>
      <w:r w:rsidRPr="00A34210">
        <w:rPr>
          <w:b w:val="0"/>
          <w:sz w:val="28"/>
          <w:szCs w:val="28"/>
        </w:rPr>
        <w:t xml:space="preserve"> грузов с гуманитарной помощью, ввозимых иностранными некоммерческими, международными организациями или гуманитарными миссиями</w:t>
      </w:r>
      <w:r>
        <w:rPr>
          <w:b w:val="0"/>
          <w:sz w:val="28"/>
          <w:szCs w:val="28"/>
        </w:rPr>
        <w:t>,</w:t>
      </w:r>
      <w:r w:rsidRPr="00A34210">
        <w:rPr>
          <w:b w:val="0"/>
          <w:sz w:val="28"/>
          <w:szCs w:val="28"/>
        </w:rPr>
        <w:t xml:space="preserve"> аккредитованными на территории Луганской Народной Республики в соответствии с требо</w:t>
      </w:r>
      <w:r>
        <w:rPr>
          <w:b w:val="0"/>
          <w:sz w:val="28"/>
          <w:szCs w:val="28"/>
        </w:rPr>
        <w:t>ваниями Порядка аккредитации иностранных некоммерческих</w:t>
      </w:r>
      <w:proofErr w:type="gramEnd"/>
      <w:r>
        <w:rPr>
          <w:b w:val="0"/>
          <w:sz w:val="28"/>
          <w:szCs w:val="28"/>
        </w:rPr>
        <w:t>, международных организаций и гуманитарных миссий в Луганской Народной Республике</w:t>
      </w:r>
      <w:r w:rsidRPr="00A34210">
        <w:rPr>
          <w:b w:val="0"/>
          <w:sz w:val="28"/>
          <w:szCs w:val="28"/>
        </w:rPr>
        <w:t xml:space="preserve">, Государственный таможенный комитет Луганской Народной Республики обеспечивает первоочередное проведение таможенного контроля и их пропуск на территорию Луганской Народной Республики при наличии информации о согласовании Председателем </w:t>
      </w:r>
      <w:r w:rsidRPr="007C3021">
        <w:rPr>
          <w:b w:val="0"/>
          <w:sz w:val="28"/>
          <w:szCs w:val="28"/>
        </w:rPr>
        <w:t>Межведомственной комиссии</w:t>
      </w:r>
      <w:r w:rsidRPr="00A34210">
        <w:rPr>
          <w:b w:val="0"/>
          <w:sz w:val="28"/>
          <w:szCs w:val="28"/>
        </w:rPr>
        <w:t xml:space="preserve"> ввоза гуманитарной помощи на территорию Луганской Народной Республики.</w:t>
      </w:r>
    </w:p>
    <w:p w:rsidR="007A7087" w:rsidRPr="00A97B21" w:rsidRDefault="007A7087" w:rsidP="007A7087">
      <w:pPr>
        <w:pStyle w:val="20"/>
        <w:shd w:val="clear" w:color="auto" w:fill="auto"/>
        <w:tabs>
          <w:tab w:val="left" w:pos="89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97B21">
        <w:rPr>
          <w:sz w:val="28"/>
          <w:szCs w:val="28"/>
        </w:rPr>
        <w:t xml:space="preserve">15. В случае обеспечения поддержки транспортировки гуманитарных </w:t>
      </w:r>
      <w:r w:rsidRPr="00A97B21">
        <w:rPr>
          <w:sz w:val="28"/>
          <w:szCs w:val="28"/>
        </w:rPr>
        <w:lastRenderedPageBreak/>
        <w:t>грузов к месту назначения на территории Луганской Народной Республики</w:t>
      </w:r>
      <w:r w:rsidRPr="00A97B2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Межведомственная комиссия</w:t>
      </w:r>
      <w:r w:rsidRPr="00A97B21">
        <w:rPr>
          <w:sz w:val="28"/>
          <w:szCs w:val="28"/>
        </w:rPr>
        <w:t xml:space="preserve"> взаимодействует с Министерством внутренних дел Луганской Народной Республики.</w:t>
      </w:r>
    </w:p>
    <w:p w:rsidR="007A7087" w:rsidRDefault="007A7087" w:rsidP="007A7087">
      <w:pPr>
        <w:pStyle w:val="20"/>
        <w:shd w:val="clear" w:color="auto" w:fill="auto"/>
        <w:tabs>
          <w:tab w:val="left" w:pos="89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97B21">
        <w:rPr>
          <w:sz w:val="28"/>
          <w:szCs w:val="28"/>
        </w:rPr>
        <w:t xml:space="preserve">16. При согласовании маршрутов передвижения по территории Луганской Народной Республики аккредитованных лиц </w:t>
      </w:r>
      <w:r>
        <w:rPr>
          <w:sz w:val="28"/>
          <w:szCs w:val="28"/>
        </w:rPr>
        <w:t>Межведомственная комиссия</w:t>
      </w:r>
      <w:r w:rsidRPr="00A97B21">
        <w:rPr>
          <w:sz w:val="28"/>
          <w:szCs w:val="28"/>
        </w:rPr>
        <w:t xml:space="preserve"> взаимодействует с Министерством внутренних дел Луганской Народной Республики</w:t>
      </w:r>
      <w:r>
        <w:rPr>
          <w:sz w:val="28"/>
          <w:szCs w:val="28"/>
        </w:rPr>
        <w:t xml:space="preserve"> и</w:t>
      </w:r>
      <w:r w:rsidRPr="00A97B21">
        <w:rPr>
          <w:sz w:val="28"/>
          <w:szCs w:val="28"/>
        </w:rPr>
        <w:t xml:space="preserve"> Министерством государственной безопасности Луганской Народной Республики.</w:t>
      </w:r>
    </w:p>
    <w:p w:rsidR="007A7087" w:rsidRDefault="007A7087" w:rsidP="007A7087">
      <w:pPr>
        <w:pStyle w:val="20"/>
        <w:shd w:val="clear" w:color="auto" w:fill="auto"/>
        <w:tabs>
          <w:tab w:val="left" w:pos="89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97B21">
        <w:rPr>
          <w:sz w:val="28"/>
          <w:szCs w:val="28"/>
        </w:rPr>
        <w:t xml:space="preserve">17. </w:t>
      </w:r>
      <w:r>
        <w:rPr>
          <w:sz w:val="28"/>
          <w:szCs w:val="28"/>
        </w:rPr>
        <w:t>Межведомственная комиссия взаимодействует</w:t>
      </w:r>
      <w:r w:rsidRPr="00A97B21">
        <w:rPr>
          <w:sz w:val="28"/>
          <w:szCs w:val="28"/>
        </w:rPr>
        <w:t xml:space="preserve"> с исполнительными органами государственной власти Луганской Народной Республики</w:t>
      </w:r>
      <w:r w:rsidRPr="003826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 осуществления задач и функций, возложенных на Межведомственную комиссию настоящим Положением. </w:t>
      </w:r>
    </w:p>
    <w:p w:rsidR="007A7087" w:rsidRPr="00A97B21" w:rsidRDefault="007A7087" w:rsidP="007A7087">
      <w:pPr>
        <w:pStyle w:val="20"/>
        <w:shd w:val="clear" w:color="auto" w:fill="auto"/>
        <w:tabs>
          <w:tab w:val="left" w:pos="89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A97B21">
        <w:rPr>
          <w:sz w:val="28"/>
          <w:szCs w:val="28"/>
        </w:rPr>
        <w:t xml:space="preserve">Общий контроль деятельности гуманитарных миссий осуществляет </w:t>
      </w:r>
      <w:r>
        <w:rPr>
          <w:sz w:val="28"/>
          <w:szCs w:val="28"/>
        </w:rPr>
        <w:t>Межведомственная комиссия</w:t>
      </w:r>
      <w:r w:rsidRPr="00A97B21">
        <w:rPr>
          <w:sz w:val="28"/>
          <w:szCs w:val="28"/>
        </w:rPr>
        <w:t xml:space="preserve"> во взаимодействии с Министерством государственной безопасности Луганской Народной Республики</w:t>
      </w:r>
      <w:r>
        <w:rPr>
          <w:sz w:val="28"/>
          <w:szCs w:val="28"/>
        </w:rPr>
        <w:t xml:space="preserve"> и</w:t>
      </w:r>
      <w:r w:rsidRPr="00A97B21">
        <w:rPr>
          <w:sz w:val="28"/>
          <w:szCs w:val="28"/>
        </w:rPr>
        <w:t xml:space="preserve"> Министерством внутренних де</w:t>
      </w:r>
      <w:r>
        <w:rPr>
          <w:sz w:val="28"/>
          <w:szCs w:val="28"/>
        </w:rPr>
        <w:t>л Луганской Народной Республики</w:t>
      </w:r>
      <w:r w:rsidRPr="00A97B21">
        <w:rPr>
          <w:sz w:val="28"/>
          <w:szCs w:val="28"/>
        </w:rPr>
        <w:t>.</w:t>
      </w:r>
    </w:p>
    <w:p w:rsidR="007A7087" w:rsidRDefault="007A7087" w:rsidP="007A7087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</w:p>
    <w:p w:rsidR="007A7087" w:rsidRDefault="007A7087" w:rsidP="007A7087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</w:p>
    <w:p w:rsidR="007A7087" w:rsidRDefault="007A7087" w:rsidP="007A7087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</w:p>
    <w:p w:rsidR="007A7087" w:rsidRPr="00E93434" w:rsidRDefault="007A7087" w:rsidP="007A7087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E93434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E93434">
        <w:rPr>
          <w:rFonts w:ascii="Times New Roman" w:hAnsi="Times New Roman"/>
          <w:sz w:val="28"/>
          <w:szCs w:val="28"/>
        </w:rPr>
        <w:t xml:space="preserve"> обязанности</w:t>
      </w:r>
    </w:p>
    <w:p w:rsidR="007A7087" w:rsidRPr="00E93434" w:rsidRDefault="007A7087" w:rsidP="007A7087">
      <w:pPr>
        <w:pStyle w:val="a4"/>
        <w:rPr>
          <w:rFonts w:ascii="Times New Roman" w:hAnsi="Times New Roman"/>
          <w:sz w:val="28"/>
          <w:szCs w:val="28"/>
        </w:rPr>
      </w:pPr>
      <w:r w:rsidRPr="00E93434">
        <w:rPr>
          <w:rFonts w:ascii="Times New Roman" w:hAnsi="Times New Roman"/>
          <w:sz w:val="28"/>
          <w:szCs w:val="28"/>
        </w:rPr>
        <w:t>Министра Совета Министров</w:t>
      </w:r>
    </w:p>
    <w:p w:rsidR="007A7087" w:rsidRPr="00A97B21" w:rsidRDefault="007A7087" w:rsidP="007A708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93434">
        <w:rPr>
          <w:sz w:val="28"/>
          <w:szCs w:val="28"/>
        </w:rPr>
        <w:t>Луганской Народной Рес</w:t>
      </w:r>
      <w:r>
        <w:rPr>
          <w:sz w:val="28"/>
          <w:szCs w:val="28"/>
        </w:rPr>
        <w:t>публики</w:t>
      </w:r>
      <w:r w:rsidRPr="00A97B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Е. В. </w:t>
      </w:r>
      <w:proofErr w:type="spellStart"/>
      <w:r>
        <w:rPr>
          <w:sz w:val="28"/>
          <w:szCs w:val="28"/>
        </w:rPr>
        <w:t>Реус</w:t>
      </w:r>
      <w:proofErr w:type="spellEnd"/>
    </w:p>
    <w:p w:rsidR="007A7087" w:rsidRDefault="007A7087" w:rsidP="007A7087">
      <w:pPr>
        <w:ind w:left="4860"/>
        <w:rPr>
          <w:rFonts w:ascii="Times New Roman" w:hAnsi="Times New Roman" w:cs="Times New Roman"/>
          <w:color w:val="auto"/>
          <w:sz w:val="28"/>
          <w:szCs w:val="28"/>
        </w:rPr>
      </w:pPr>
    </w:p>
    <w:p w:rsidR="007A7087" w:rsidRDefault="007A7087" w:rsidP="007A7087">
      <w:pPr>
        <w:ind w:left="4860"/>
        <w:rPr>
          <w:rFonts w:ascii="Times New Roman" w:hAnsi="Times New Roman" w:cs="Times New Roman"/>
          <w:color w:val="auto"/>
          <w:sz w:val="28"/>
          <w:szCs w:val="28"/>
        </w:rPr>
      </w:pPr>
    </w:p>
    <w:p w:rsidR="007A7087" w:rsidRDefault="007A7087" w:rsidP="007A7087">
      <w:pPr>
        <w:ind w:left="4860"/>
        <w:rPr>
          <w:rFonts w:ascii="Times New Roman" w:hAnsi="Times New Roman" w:cs="Times New Roman"/>
          <w:color w:val="auto"/>
          <w:sz w:val="28"/>
          <w:szCs w:val="28"/>
        </w:rPr>
      </w:pPr>
    </w:p>
    <w:p w:rsidR="007A7087" w:rsidRDefault="007A7087" w:rsidP="007A7087">
      <w:pPr>
        <w:ind w:left="4860"/>
        <w:rPr>
          <w:rFonts w:ascii="Times New Roman" w:hAnsi="Times New Roman" w:cs="Times New Roman"/>
          <w:color w:val="auto"/>
          <w:sz w:val="28"/>
          <w:szCs w:val="28"/>
        </w:rPr>
      </w:pPr>
    </w:p>
    <w:p w:rsidR="007A7087" w:rsidRDefault="007A7087" w:rsidP="007A7087">
      <w:pPr>
        <w:ind w:left="4860"/>
        <w:rPr>
          <w:rFonts w:ascii="Times New Roman" w:hAnsi="Times New Roman" w:cs="Times New Roman"/>
          <w:color w:val="auto"/>
          <w:sz w:val="28"/>
          <w:szCs w:val="28"/>
        </w:rPr>
      </w:pPr>
    </w:p>
    <w:p w:rsidR="007A7087" w:rsidRDefault="007A7087" w:rsidP="007A7087">
      <w:pPr>
        <w:ind w:left="4860"/>
        <w:rPr>
          <w:rFonts w:ascii="Times New Roman" w:hAnsi="Times New Roman" w:cs="Times New Roman"/>
          <w:color w:val="auto"/>
          <w:sz w:val="28"/>
          <w:szCs w:val="28"/>
        </w:rPr>
      </w:pPr>
    </w:p>
    <w:p w:rsidR="007A7087" w:rsidRDefault="007A7087" w:rsidP="007A7087">
      <w:pPr>
        <w:ind w:left="4860"/>
        <w:rPr>
          <w:rFonts w:ascii="Times New Roman" w:hAnsi="Times New Roman" w:cs="Times New Roman"/>
          <w:color w:val="auto"/>
          <w:sz w:val="28"/>
          <w:szCs w:val="28"/>
        </w:rPr>
      </w:pPr>
    </w:p>
    <w:p w:rsidR="007A7087" w:rsidRDefault="007A7087" w:rsidP="007A7087">
      <w:pPr>
        <w:ind w:left="4860"/>
        <w:rPr>
          <w:rFonts w:ascii="Times New Roman" w:hAnsi="Times New Roman" w:cs="Times New Roman"/>
          <w:color w:val="auto"/>
          <w:sz w:val="28"/>
          <w:szCs w:val="28"/>
        </w:rPr>
      </w:pPr>
    </w:p>
    <w:p w:rsidR="004D0759" w:rsidRDefault="004D0759"/>
    <w:sectPr w:rsidR="004D0759" w:rsidSect="00562EB2">
      <w:headerReference w:type="default" r:id="rId7"/>
      <w:pgSz w:w="11906" w:h="16838"/>
      <w:pgMar w:top="1134" w:right="567" w:bottom="1134" w:left="1701" w:header="708" w:footer="708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8AB" w:rsidRDefault="001548AB" w:rsidP="007A7087">
      <w:r>
        <w:separator/>
      </w:r>
    </w:p>
  </w:endnote>
  <w:endnote w:type="continuationSeparator" w:id="0">
    <w:p w:rsidR="001548AB" w:rsidRDefault="001548AB" w:rsidP="007A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8AB" w:rsidRDefault="001548AB" w:rsidP="007A7087">
      <w:r>
        <w:separator/>
      </w:r>
    </w:p>
  </w:footnote>
  <w:footnote w:type="continuationSeparator" w:id="0">
    <w:p w:rsidR="001548AB" w:rsidRDefault="001548AB" w:rsidP="007A7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87274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A7087" w:rsidRPr="00562EB2" w:rsidRDefault="007A7087">
        <w:pPr>
          <w:pStyle w:val="a5"/>
          <w:jc w:val="center"/>
          <w:rPr>
            <w:sz w:val="20"/>
            <w:szCs w:val="20"/>
          </w:rPr>
        </w:pPr>
        <w:r w:rsidRPr="00562EB2">
          <w:rPr>
            <w:sz w:val="20"/>
            <w:szCs w:val="20"/>
          </w:rPr>
          <w:fldChar w:fldCharType="begin"/>
        </w:r>
        <w:r w:rsidRPr="00562EB2">
          <w:rPr>
            <w:sz w:val="20"/>
            <w:szCs w:val="20"/>
          </w:rPr>
          <w:instrText>PAGE   \* MERGEFORMAT</w:instrText>
        </w:r>
        <w:r w:rsidRPr="00562EB2">
          <w:rPr>
            <w:sz w:val="20"/>
            <w:szCs w:val="20"/>
          </w:rPr>
          <w:fldChar w:fldCharType="separate"/>
        </w:r>
        <w:r w:rsidR="00E00009">
          <w:rPr>
            <w:noProof/>
            <w:sz w:val="20"/>
            <w:szCs w:val="20"/>
          </w:rPr>
          <w:t>14</w:t>
        </w:r>
        <w:r w:rsidRPr="00562EB2">
          <w:rPr>
            <w:sz w:val="20"/>
            <w:szCs w:val="20"/>
          </w:rPr>
          <w:fldChar w:fldCharType="end"/>
        </w:r>
      </w:p>
    </w:sdtContent>
  </w:sdt>
  <w:p w:rsidR="007A7087" w:rsidRDefault="007A7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69"/>
    <w:rsid w:val="001548AB"/>
    <w:rsid w:val="004D0759"/>
    <w:rsid w:val="00562EB2"/>
    <w:rsid w:val="007A7087"/>
    <w:rsid w:val="008F13DC"/>
    <w:rsid w:val="00B46669"/>
    <w:rsid w:val="00E0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8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7A708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7A708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">
    <w:name w:val="Основной текст (2) + 12 pt"/>
    <w:aliases w:val="Курсив"/>
    <w:uiPriority w:val="99"/>
    <w:rsid w:val="007A7087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7A7087"/>
    <w:pPr>
      <w:shd w:val="clear" w:color="auto" w:fill="FFFFFF"/>
      <w:spacing w:after="720" w:line="367" w:lineRule="exact"/>
      <w:jc w:val="righ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7A7087"/>
    <w:pPr>
      <w:shd w:val="clear" w:color="auto" w:fill="FFFFFF"/>
      <w:spacing w:before="720" w:line="353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7A70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No Spacing"/>
    <w:uiPriority w:val="1"/>
    <w:qFormat/>
    <w:rsid w:val="007A708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7A70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708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70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708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8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7A708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7A708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">
    <w:name w:val="Основной текст (2) + 12 pt"/>
    <w:aliases w:val="Курсив"/>
    <w:uiPriority w:val="99"/>
    <w:rsid w:val="007A7087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7A7087"/>
    <w:pPr>
      <w:shd w:val="clear" w:color="auto" w:fill="FFFFFF"/>
      <w:spacing w:after="720" w:line="367" w:lineRule="exact"/>
      <w:jc w:val="righ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7A7087"/>
    <w:pPr>
      <w:shd w:val="clear" w:color="auto" w:fill="FFFFFF"/>
      <w:spacing w:before="720" w:line="353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7A70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No Spacing"/>
    <w:uiPriority w:val="1"/>
    <w:qFormat/>
    <w:rsid w:val="007A708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7A70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708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70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708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pommin</dc:creator>
  <cp:keywords/>
  <dc:description/>
  <cp:lastModifiedBy>pommin</cp:lastModifiedBy>
  <cp:revision>4</cp:revision>
  <dcterms:created xsi:type="dcterms:W3CDTF">2018-06-05T07:31:00Z</dcterms:created>
  <dcterms:modified xsi:type="dcterms:W3CDTF">2018-06-06T05:51:00Z</dcterms:modified>
</cp:coreProperties>
</file>